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2"/>
        </w:numPr>
        <w:rPr>
          <w:lang w:val="en-US" w:eastAsia="zh-CN"/>
        </w:rPr>
      </w:pPr>
      <w:bookmarkStart w:id="0" w:name="_GoBack"/>
      <w:bookmarkEnd w:id="0"/>
      <w:r>
        <w:rPr>
          <w:rFonts w:ascii="宋体" w:hAnsi="宋体" w:eastAsia="宋体" w:cs="宋体"/>
          <w:bCs/>
          <w:szCs w:val="28"/>
          <w:lang w:val="en-US" w:eastAsia="zh-CN"/>
        </w:rPr>
        <w:t>设备清单</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7"/>
        <w:gridCol w:w="2686"/>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 w:hRule="atLeast"/>
          <w:jc w:val="center"/>
        </w:trPr>
        <w:tc>
          <w:tcPr>
            <w:tcW w:w="2917" w:type="dxa"/>
            <w:shd w:val="clear" w:color="auto" w:fill="91ABDF" w:themeFill="accent1" w:themeFillTint="99"/>
            <w:vAlign w:val="top"/>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设备</w:t>
            </w:r>
          </w:p>
        </w:tc>
        <w:tc>
          <w:tcPr>
            <w:tcW w:w="2686" w:type="dxa"/>
            <w:shd w:val="clear" w:color="auto" w:fill="91ABDF" w:themeFill="accent1" w:themeFillTint="99"/>
            <w:vAlign w:val="top"/>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数量</w:t>
            </w:r>
          </w:p>
        </w:tc>
        <w:tc>
          <w:tcPr>
            <w:tcW w:w="2686" w:type="dxa"/>
            <w:shd w:val="clear" w:color="auto" w:fill="91ABDF" w:themeFill="accent1" w:themeFillTint="99"/>
            <w:vAlign w:val="top"/>
          </w:tcPr>
          <w:p>
            <w:pPr>
              <w:jc w:val="center"/>
              <w:rPr>
                <w:rFonts w:hint="default" w:ascii="宋体" w:hAnsi="宋体" w:eastAsia="宋体" w:cs="宋体"/>
                <w:szCs w:val="21"/>
                <w:lang w:val="en-US" w:eastAsia="zh-CN"/>
              </w:rPr>
            </w:pPr>
            <w:r>
              <w:rPr>
                <w:rFonts w:hint="default" w:ascii="宋体" w:hAnsi="宋体" w:eastAsia="宋体" w:cs="宋体"/>
                <w:szCs w:val="21"/>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2917" w:type="dxa"/>
            <w:vAlign w:val="top"/>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服务器A</w:t>
            </w:r>
          </w:p>
        </w:tc>
        <w:tc>
          <w:tcPr>
            <w:tcW w:w="2686" w:type="dxa"/>
            <w:vAlign w:val="top"/>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w:t>
            </w:r>
          </w:p>
        </w:tc>
        <w:tc>
          <w:tcPr>
            <w:tcW w:w="2686" w:type="dxa"/>
            <w:vAlign w:val="top"/>
          </w:tcPr>
          <w:p>
            <w:pPr>
              <w:jc w:val="center"/>
              <w:rPr>
                <w:rFonts w:hint="default" w:ascii="宋体" w:hAnsi="宋体" w:eastAsia="宋体" w:cs="宋体"/>
                <w:szCs w:val="21"/>
                <w:lang w:val="en-US" w:eastAsia="zh-CN"/>
              </w:rPr>
            </w:pPr>
            <w:r>
              <w:rPr>
                <w:rFonts w:hint="default" w:ascii="宋体" w:hAnsi="宋体" w:eastAsia="宋体" w:cs="宋体"/>
                <w:szCs w:val="21"/>
                <w:lang w:val="en-US" w:eastAsia="zh-CN"/>
              </w:rPr>
              <w:t>C86 服务器</w:t>
            </w:r>
          </w:p>
        </w:tc>
      </w:tr>
    </w:tbl>
    <w:p>
      <w:pPr>
        <w:rPr>
          <w:rFonts w:hint="default" w:ascii="宋体" w:hAnsi="宋体" w:eastAsia="宋体" w:cs="宋体"/>
          <w:lang w:val="en-US" w:eastAsia="zh-CN"/>
        </w:rPr>
      </w:pPr>
      <w:r>
        <w:rPr>
          <w:rFonts w:ascii="宋体" w:hAnsi="宋体" w:eastAsia="宋体" w:cs="宋体"/>
        </w:rPr>
        <w:t>注：</w:t>
      </w:r>
      <w:r>
        <w:rPr>
          <w:rFonts w:ascii="宋体" w:hAnsi="宋体" w:eastAsia="宋体" w:cs="宋体"/>
          <w:b w:val="0"/>
          <w:i w:val="0"/>
          <w:strike w:val="0"/>
          <w:spacing w:val="0"/>
          <w:u w:val="none"/>
        </w:rPr>
        <w:t xml:space="preserve"> 服务器配置</w:t>
      </w:r>
      <w:r>
        <w:rPr>
          <w:rFonts w:hint="eastAsia" w:ascii="宋体" w:hAnsi="宋体" w:eastAsia="宋体" w:cs="宋体"/>
          <w:b w:val="0"/>
          <w:i w:val="0"/>
          <w:strike w:val="0"/>
          <w:spacing w:val="0"/>
          <w:u w:val="none"/>
          <w:lang w:eastAsia="zh-CN"/>
        </w:rPr>
        <w:t>的</w:t>
      </w:r>
      <w:r>
        <w:rPr>
          <w:rFonts w:hint="eastAsia" w:ascii="宋体" w:hAnsi="宋体" w:eastAsia="宋体" w:cs="宋体"/>
          <w:b w:val="0"/>
          <w:i w:val="0"/>
          <w:strike w:val="0"/>
          <w:spacing w:val="0"/>
          <w:u w:val="none"/>
          <w:lang w:val="en-US" w:eastAsia="zh-CN"/>
        </w:rPr>
        <w:t>CPU</w:t>
      </w:r>
      <w:r>
        <w:rPr>
          <w:rFonts w:ascii="宋体" w:hAnsi="宋体" w:eastAsia="宋体" w:cs="宋体"/>
          <w:b w:val="0"/>
          <w:i w:val="0"/>
          <w:strike w:val="0"/>
          <w:spacing w:val="0"/>
          <w:u w:val="none"/>
        </w:rPr>
        <w:t>需在中国信息安全测评中心发布的安全可靠测评结果公告（2023年第1号</w:t>
      </w:r>
      <w:r>
        <w:rPr>
          <w:rFonts w:hint="eastAsia" w:ascii="宋体" w:hAnsi="宋体" w:eastAsia="宋体" w:cs="宋体"/>
          <w:b w:val="0"/>
          <w:i w:val="0"/>
          <w:strike w:val="0"/>
          <w:color w:val="auto"/>
          <w:spacing w:val="0"/>
          <w:u w:val="none"/>
          <w:lang w:val="en-US" w:eastAsia="zh-CN"/>
        </w:rPr>
        <w:t>~2024年第1号</w:t>
      </w:r>
      <w:r>
        <w:rPr>
          <w:rFonts w:ascii="宋体" w:hAnsi="宋体" w:eastAsia="宋体" w:cs="宋体"/>
          <w:b w:val="0"/>
          <w:i w:val="0"/>
          <w:strike w:val="0"/>
          <w:spacing w:val="0"/>
          <w:u w:val="none"/>
        </w:rPr>
        <w:t>）所公布</w:t>
      </w:r>
      <w:r>
        <w:rPr>
          <w:rFonts w:hint="eastAsia" w:ascii="宋体" w:hAnsi="宋体" w:eastAsia="宋体" w:cs="宋体"/>
          <w:b w:val="0"/>
          <w:i w:val="0"/>
          <w:strike w:val="0"/>
          <w:spacing w:val="0"/>
          <w:u w:val="none"/>
          <w:lang w:val="en-US" w:eastAsia="zh-CN"/>
        </w:rPr>
        <w:t>CPU</w:t>
      </w:r>
      <w:r>
        <w:rPr>
          <w:rFonts w:ascii="宋体" w:hAnsi="宋体" w:eastAsia="宋体" w:cs="宋体"/>
          <w:b w:val="0"/>
          <w:i w:val="0"/>
          <w:strike w:val="0"/>
          <w:spacing w:val="0"/>
          <w:u w:val="none"/>
        </w:rPr>
        <w:t>名录中。</w:t>
      </w:r>
      <w:r>
        <w:rPr>
          <w:rFonts w:ascii="宋体" w:hAnsi="宋体" w:eastAsia="宋体" w:cs="宋体"/>
          <w:sz w:val="21"/>
          <w:szCs w:val="24"/>
          <w:u w:val="none"/>
        </w:rPr>
        <w:t>GPU需符合自主可控要求</w:t>
      </w:r>
      <w:r>
        <w:rPr>
          <w:rFonts w:hint="eastAsia" w:ascii="宋体" w:hAnsi="宋体" w:eastAsia="宋体" w:cs="宋体"/>
          <w:sz w:val="21"/>
          <w:szCs w:val="24"/>
          <w:u w:val="none"/>
          <w:lang w:eastAsia="zh-CN"/>
        </w:rPr>
        <w:t>。</w:t>
      </w:r>
    </w:p>
    <w:p>
      <w:pPr>
        <w:pStyle w:val="3"/>
        <w:numPr>
          <w:ilvl w:val="0"/>
          <w:numId w:val="2"/>
        </w:numPr>
        <w:shd w:val="clear"/>
        <w:rPr>
          <w:rFonts w:ascii="宋体" w:hAnsi="宋体" w:eastAsia="宋体" w:cs="宋体"/>
          <w:bCs/>
          <w:szCs w:val="28"/>
        </w:rPr>
      </w:pPr>
      <w:r>
        <w:rPr>
          <w:rFonts w:ascii="宋体" w:hAnsi="宋体" w:eastAsia="宋体" w:cs="宋体"/>
          <w:bCs/>
          <w:szCs w:val="28"/>
          <w:lang w:val="en-US" w:eastAsia="zh-CN"/>
        </w:rPr>
        <w:t>配置说明</w:t>
      </w:r>
    </w:p>
    <w:p>
      <w:pPr>
        <w:pStyle w:val="4"/>
        <w:numPr>
          <w:ilvl w:val="0"/>
          <w:numId w:val="3"/>
        </w:numPr>
        <w:bidi w:val="0"/>
        <w:rPr>
          <w:rFonts w:ascii="宋体" w:hAnsi="宋体" w:eastAsia="宋体" w:cs="宋体"/>
          <w:szCs w:val="24"/>
          <w:lang w:val="en-US" w:eastAsia="zh-CN"/>
        </w:rPr>
      </w:pPr>
      <w:r>
        <w:rPr>
          <w:rFonts w:ascii="宋体" w:hAnsi="宋体" w:eastAsia="宋体" w:cs="宋体"/>
          <w:szCs w:val="24"/>
        </w:rPr>
        <w:t>服务器</w:t>
      </w:r>
      <w:r>
        <w:rPr>
          <w:rFonts w:hint="eastAsia" w:ascii="宋体" w:hAnsi="宋体" w:eastAsia="宋体" w:cs="宋体"/>
          <w:szCs w:val="24"/>
          <w:lang w:val="en-US" w:eastAsia="zh-CN"/>
        </w:rPr>
        <w:t>A</w:t>
      </w:r>
      <w:r>
        <w:rPr>
          <w:rFonts w:ascii="宋体" w:hAnsi="宋体" w:eastAsia="宋体" w:cs="宋体"/>
          <w:szCs w:val="24"/>
        </w:rPr>
        <w:t>标准：单台配置如</w:t>
      </w:r>
      <w:r>
        <w:rPr>
          <w:rFonts w:ascii="宋体" w:hAnsi="宋体" w:eastAsia="宋体" w:cs="宋体"/>
          <w:szCs w:val="24"/>
          <w:lang w:val="en-US" w:eastAsia="zh-CN"/>
        </w:rPr>
        <w:t>下</w:t>
      </w:r>
    </w:p>
    <w:tbl>
      <w:tblPr>
        <w:tblStyle w:val="13"/>
        <w:tblpPr w:leftFromText="180" w:rightFromText="180" w:vertAnchor="text" w:horzAnchor="page" w:tblpX="2064" w:tblpY="1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84"/>
        <w:gridCol w:w="785"/>
        <w:gridCol w:w="1257"/>
        <w:gridCol w:w="4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95B3D7"/>
            <w:vAlign w:val="top"/>
          </w:tcPr>
          <w:p>
            <w:pPr>
              <w:rPr>
                <w:rFonts w:hint="eastAsia" w:ascii="宋体" w:hAnsi="宋体" w:eastAsia="宋体" w:cs="宋体"/>
                <w:szCs w:val="21"/>
                <w:lang w:val="en-US" w:eastAsia="zh-CN"/>
              </w:rPr>
            </w:pPr>
            <w:r>
              <w:rPr>
                <w:rFonts w:hint="eastAsia" w:ascii="宋体" w:hAnsi="宋体" w:eastAsia="宋体" w:cs="宋体"/>
                <w:szCs w:val="21"/>
                <w:lang w:val="en-US" w:eastAsia="zh-CN"/>
              </w:rPr>
              <w:t>序号</w:t>
            </w:r>
          </w:p>
        </w:tc>
        <w:tc>
          <w:tcPr>
            <w:tcW w:w="684" w:type="dxa"/>
            <w:shd w:val="clear" w:color="auto" w:fill="95B3D7"/>
            <w:vAlign w:val="top"/>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指标分类</w:t>
            </w:r>
          </w:p>
        </w:tc>
        <w:tc>
          <w:tcPr>
            <w:tcW w:w="785" w:type="dxa"/>
            <w:shd w:val="clear" w:color="auto" w:fill="95B3D7"/>
            <w:vAlign w:val="top"/>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一级指标</w:t>
            </w:r>
          </w:p>
        </w:tc>
        <w:tc>
          <w:tcPr>
            <w:tcW w:w="1257" w:type="dxa"/>
            <w:shd w:val="clear" w:color="auto" w:fill="95B3D7"/>
            <w:vAlign w:val="top"/>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二级指标</w:t>
            </w:r>
          </w:p>
        </w:tc>
        <w:tc>
          <w:tcPr>
            <w:tcW w:w="4720" w:type="dxa"/>
            <w:shd w:val="clear" w:color="auto" w:fill="95B3D7"/>
            <w:vAlign w:val="top"/>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shd w:val="clear" w:color="auto" w:fill="auto"/>
            <w:vAlign w:val="top"/>
          </w:tcPr>
          <w:p>
            <w:pPr>
              <w:tabs>
                <w:tab w:val="left" w:pos="34"/>
                <w:tab w:val="left" w:pos="459"/>
              </w:tabs>
              <w:jc w:val="center"/>
              <w:rPr>
                <w:rFonts w:hint="eastAsia" w:ascii="宋体" w:hAnsi="宋体" w:eastAsia="宋体" w:cs="宋体"/>
                <w:szCs w:val="21"/>
                <w:lang w:val="en-US" w:eastAsia="zh-CN"/>
              </w:rPr>
            </w:pPr>
            <w:r>
              <w:rPr>
                <w:rFonts w:hint="eastAsia" w:ascii="宋体" w:hAnsi="宋体" w:eastAsia="宋体" w:cs="宋体"/>
                <w:szCs w:val="21"/>
              </w:rPr>
              <w:t>1</w:t>
            </w:r>
          </w:p>
        </w:tc>
        <w:tc>
          <w:tcPr>
            <w:tcW w:w="684" w:type="dxa"/>
            <w:vMerge w:val="restart"/>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产品规格</w:t>
            </w:r>
          </w:p>
        </w:tc>
        <w:tc>
          <w:tcPr>
            <w:tcW w:w="785" w:type="dxa"/>
            <w:shd w:val="clear" w:color="auto" w:fill="auto"/>
            <w:vAlign w:val="top"/>
          </w:tcPr>
          <w:p>
            <w:pPr>
              <w:tabs>
                <w:tab w:val="left" w:pos="34"/>
                <w:tab w:val="left" w:pos="459"/>
              </w:tabs>
              <w:jc w:val="center"/>
              <w:rPr>
                <w:rFonts w:hint="eastAsia" w:ascii="宋体" w:hAnsi="宋体" w:eastAsia="宋体" w:cs="宋体"/>
                <w:szCs w:val="21"/>
                <w:lang w:val="en-US" w:eastAsia="zh-CN"/>
              </w:rPr>
            </w:pPr>
            <w:r>
              <w:rPr>
                <w:rFonts w:hint="eastAsia" w:ascii="宋体" w:hAnsi="宋体" w:eastAsia="宋体" w:cs="宋体"/>
                <w:szCs w:val="21"/>
                <w:lang w:val="en-US" w:eastAsia="zh-CN"/>
              </w:rPr>
              <w:t>CPU</w:t>
            </w:r>
          </w:p>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规格</w:t>
            </w:r>
          </w:p>
        </w:tc>
        <w:tc>
          <w:tcPr>
            <w:tcW w:w="1257" w:type="dxa"/>
            <w:shd w:val="clear" w:color="auto" w:fill="auto"/>
            <w:vAlign w:val="top"/>
          </w:tcPr>
          <w:p>
            <w:pPr>
              <w:tabs>
                <w:tab w:val="left" w:pos="34"/>
                <w:tab w:val="left" w:pos="459"/>
              </w:tabs>
              <w:ind w:left="0"/>
              <w:rPr>
                <w:rFonts w:hint="default" w:ascii="宋体" w:hAnsi="宋体" w:eastAsia="宋体" w:cs="宋体"/>
                <w:szCs w:val="21"/>
                <w:lang w:val="en-US" w:eastAsia="zh-CN"/>
              </w:rPr>
            </w:pPr>
            <w:r>
              <w:rPr>
                <w:rFonts w:hint="eastAsia" w:ascii="宋体" w:hAnsi="宋体" w:eastAsia="宋体" w:cs="宋体"/>
                <w:szCs w:val="21"/>
                <w:lang w:val="en-US" w:eastAsia="zh-CN"/>
              </w:rPr>
              <w:t>CPU信息</w:t>
            </w:r>
          </w:p>
        </w:tc>
        <w:tc>
          <w:tcPr>
            <w:tcW w:w="4720" w:type="dxa"/>
            <w:shd w:val="clear" w:color="auto" w:fill="auto"/>
            <w:vAlign w:val="top"/>
          </w:tcPr>
          <w:p>
            <w:pPr>
              <w:rPr>
                <w:rFonts w:hint="eastAsia" w:ascii="宋体" w:hAnsi="宋体" w:eastAsia="宋体" w:cs="宋体"/>
                <w:szCs w:val="21"/>
                <w:lang w:val="en-US" w:eastAsia="zh-CN"/>
              </w:rPr>
            </w:pPr>
            <w:r>
              <w:rPr>
                <w:rFonts w:hint="eastAsia" w:ascii="宋体" w:hAnsi="宋体" w:eastAsia="宋体" w:cs="宋体"/>
                <w:szCs w:val="21"/>
                <w:lang w:val="en-US" w:eastAsia="zh-CN"/>
              </w:rPr>
              <w:t>CPU型号:C86 处理器（需求通用版型号，非特供版型号）</w:t>
            </w:r>
          </w:p>
          <w:p>
            <w:pPr>
              <w:tabs>
                <w:tab w:val="left" w:pos="34"/>
                <w:tab w:val="left" w:pos="459"/>
              </w:tabs>
              <w:rPr>
                <w:rFonts w:hint="default" w:ascii="宋体" w:hAnsi="宋体" w:eastAsia="宋体" w:cs="宋体"/>
                <w:szCs w:val="21"/>
                <w:lang w:val="en-US" w:eastAsia="zh-CN"/>
              </w:rPr>
            </w:pPr>
            <w:r>
              <w:rPr>
                <w:rFonts w:hint="eastAsia" w:ascii="宋体" w:hAnsi="宋体" w:eastAsia="宋体" w:cs="宋体"/>
                <w:szCs w:val="21"/>
                <w:lang w:val="en-US" w:eastAsia="zh-CN"/>
              </w:rPr>
              <w:t>物理核心数≥24</w:t>
            </w:r>
          </w:p>
          <w:p>
            <w:pPr>
              <w:tabs>
                <w:tab w:val="left" w:pos="34"/>
                <w:tab w:val="left" w:pos="459"/>
              </w:tabs>
              <w:rPr>
                <w:rFonts w:hint="default" w:ascii="宋体" w:hAnsi="宋体" w:eastAsia="宋体" w:cs="宋体"/>
                <w:szCs w:val="21"/>
                <w:lang w:val="en-US" w:eastAsia="zh-CN"/>
              </w:rPr>
            </w:pPr>
            <w:r>
              <w:rPr>
                <w:rFonts w:hint="eastAsia" w:ascii="宋体" w:hAnsi="宋体" w:eastAsia="宋体" w:cs="宋体"/>
                <w:szCs w:val="21"/>
                <w:lang w:val="en-US" w:eastAsia="zh-CN"/>
              </w:rPr>
              <w:t>基础主频≥2.2GHz</w:t>
            </w:r>
          </w:p>
          <w:p>
            <w:pPr>
              <w:tabs>
                <w:tab w:val="left" w:pos="34"/>
                <w:tab w:val="left" w:pos="459"/>
              </w:tabs>
              <w:rPr>
                <w:rFonts w:hint="default" w:ascii="宋体" w:hAnsi="宋体" w:eastAsia="宋体" w:cs="宋体"/>
                <w:szCs w:val="21"/>
                <w:lang w:val="en-US" w:eastAsia="zh-CN"/>
              </w:rPr>
            </w:pPr>
            <w:r>
              <w:rPr>
                <w:rFonts w:hint="eastAsia" w:ascii="宋体" w:hAnsi="宋体" w:eastAsia="宋体" w:cs="宋体"/>
                <w:szCs w:val="21"/>
                <w:lang w:val="en-US" w:eastAsia="zh-CN"/>
              </w:rPr>
              <w:t>末级缓存容量≥64MB</w:t>
            </w:r>
          </w:p>
          <w:p>
            <w:pPr>
              <w:tabs>
                <w:tab w:val="left" w:pos="34"/>
                <w:tab w:val="left" w:pos="459"/>
              </w:tabs>
              <w:rPr>
                <w:rFonts w:hint="default" w:ascii="宋体" w:hAnsi="宋体" w:eastAsia="宋体" w:cs="宋体"/>
                <w:szCs w:val="21"/>
                <w:lang w:val="en-US" w:eastAsia="zh-CN"/>
              </w:rPr>
            </w:pPr>
            <w:r>
              <w:rPr>
                <w:rFonts w:hint="eastAsia" w:ascii="宋体" w:hAnsi="宋体" w:eastAsia="宋体" w:cs="宋体"/>
                <w:szCs w:val="21"/>
                <w:lang w:val="en-US" w:eastAsia="zh-CN"/>
              </w:rPr>
              <w:t>线程数≥48</w:t>
            </w:r>
          </w:p>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热设计功耗≤200W</w:t>
            </w:r>
          </w:p>
          <w:p>
            <w:pPr>
              <w:tabs>
                <w:tab w:val="left" w:pos="34"/>
                <w:tab w:val="left" w:pos="459"/>
              </w:tabs>
              <w:rPr>
                <w:rFonts w:hint="default" w:ascii="宋体" w:hAnsi="宋体" w:eastAsia="宋体" w:cs="宋体"/>
                <w:szCs w:val="21"/>
                <w:lang w:val="en-US" w:eastAsia="zh-CN"/>
              </w:rPr>
            </w:pPr>
            <w:r>
              <w:rPr>
                <w:rFonts w:hint="eastAsia" w:ascii="宋体" w:hAnsi="宋体" w:eastAsia="宋体" w:cs="宋体"/>
                <w:szCs w:val="21"/>
                <w:lang w:val="en-US" w:eastAsia="zh-CN"/>
              </w:rPr>
              <w:t>支持内存的最高速率≥DDR4-3200MHz</w:t>
            </w:r>
          </w:p>
          <w:p>
            <w:pPr>
              <w:tabs>
                <w:tab w:val="left" w:pos="34"/>
                <w:tab w:val="left" w:pos="459"/>
              </w:tabs>
              <w:rPr>
                <w:rFonts w:hint="default" w:ascii="宋体" w:hAnsi="宋体" w:eastAsia="宋体" w:cs="宋体"/>
                <w:szCs w:val="21"/>
                <w:lang w:val="en-US" w:eastAsia="zh-CN"/>
              </w:rPr>
            </w:pPr>
            <w:r>
              <w:rPr>
                <w:rFonts w:hint="eastAsia" w:ascii="宋体" w:hAnsi="宋体" w:eastAsia="宋体" w:cs="宋体"/>
                <w:szCs w:val="21"/>
                <w:lang w:val="en-US" w:eastAsia="zh-CN"/>
              </w:rPr>
              <w:t>通道数≥8</w:t>
            </w:r>
          </w:p>
          <w:p>
            <w:pPr>
              <w:pBdr>
                <w:bottom w:val="none" w:color="auto" w:sz="0" w:space="0"/>
              </w:pBdr>
              <w:rPr>
                <w:rFonts w:hint="eastAsia" w:ascii="宋体" w:hAnsi="宋体" w:eastAsia="宋体" w:cs="宋体"/>
                <w:szCs w:val="21"/>
                <w:lang w:val="en-US" w:eastAsia="zh-CN"/>
              </w:rPr>
            </w:pPr>
            <w:r>
              <w:rPr>
                <w:rFonts w:hint="eastAsia" w:ascii="宋体" w:hAnsi="宋体" w:eastAsia="宋体" w:cs="宋体"/>
                <w:szCs w:val="21"/>
                <w:lang w:val="en-US" w:eastAsia="zh-CN"/>
              </w:rPr>
              <w:t>位宽≥64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shd w:val="clear" w:color="auto" w:fill="auto"/>
            <w:vAlign w:val="top"/>
          </w:tcPr>
          <w:p>
            <w:pPr>
              <w:tabs>
                <w:tab w:val="left" w:pos="34"/>
                <w:tab w:val="left" w:pos="459"/>
                <w:tab w:val="left" w:pos="3316"/>
              </w:tabs>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684" w:type="dxa"/>
            <w:vMerge w:val="continue"/>
            <w:vAlign w:val="top"/>
          </w:tcPr>
          <w:p>
            <w:pPr>
              <w:tabs>
                <w:tab w:val="left" w:pos="34"/>
                <w:tab w:val="left" w:pos="459"/>
                <w:tab w:val="left" w:pos="3316"/>
              </w:tabs>
              <w:jc w:val="center"/>
              <w:rPr>
                <w:rFonts w:hint="eastAsia" w:ascii="宋体" w:hAnsi="宋体" w:eastAsia="宋体" w:cs="宋体"/>
                <w:szCs w:val="21"/>
                <w:lang w:val="en-US" w:eastAsia="zh-CN"/>
              </w:rPr>
            </w:pPr>
          </w:p>
        </w:tc>
        <w:tc>
          <w:tcPr>
            <w:tcW w:w="785" w:type="dxa"/>
            <w:vMerge w:val="restart"/>
            <w:shd w:val="clear" w:color="auto" w:fill="auto"/>
            <w:vAlign w:val="top"/>
          </w:tcPr>
          <w:p>
            <w:pPr>
              <w:tabs>
                <w:tab w:val="left" w:pos="34"/>
                <w:tab w:val="left" w:pos="459"/>
                <w:tab w:val="left" w:pos="3316"/>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主板规格</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主板的CPU 和内存情况</w:t>
            </w:r>
          </w:p>
        </w:tc>
        <w:tc>
          <w:tcPr>
            <w:tcW w:w="4720" w:type="dxa"/>
            <w:shd w:val="clear" w:color="auto" w:fill="auto"/>
            <w:vAlign w:val="top"/>
          </w:tcPr>
          <w:p>
            <w:pPr>
              <w:pBdr>
                <w:bottom w:val="none" w:color="auto" w:sz="0" w:space="0"/>
              </w:pBdr>
              <w:rPr>
                <w:rFonts w:hint="eastAsia" w:ascii="宋体" w:hAnsi="宋体" w:eastAsia="宋体" w:cs="宋体"/>
                <w:szCs w:val="21"/>
                <w:shd w:val="clear" w:color="auto" w:fill="FFFF00"/>
                <w:lang w:val="en-US" w:eastAsia="zh-CN"/>
              </w:rPr>
            </w:pPr>
            <w:r>
              <w:rPr>
                <w:rFonts w:hint="eastAsia" w:ascii="宋体" w:hAnsi="宋体" w:eastAsia="宋体" w:cs="宋体"/>
                <w:szCs w:val="21"/>
                <w:lang w:val="en-US" w:eastAsia="zh-CN"/>
              </w:rPr>
              <w:t>CPU型号：C86 处理器</w:t>
            </w:r>
          </w:p>
          <w:p>
            <w:pPr>
              <w:tabs>
                <w:tab w:val="left" w:pos="34"/>
                <w:tab w:val="left" w:pos="459"/>
              </w:tabs>
              <w:rPr>
                <w:rFonts w:hint="default" w:ascii="宋体" w:hAnsi="宋体" w:eastAsia="宋体" w:cs="宋体"/>
                <w:szCs w:val="21"/>
                <w:lang w:val="en-US" w:eastAsia="zh-CN"/>
              </w:rPr>
            </w:pPr>
            <w:r>
              <w:rPr>
                <w:rFonts w:hint="eastAsia" w:ascii="宋体" w:hAnsi="宋体" w:eastAsia="宋体" w:cs="宋体"/>
                <w:szCs w:val="21"/>
                <w:lang w:val="en-US" w:eastAsia="zh-CN"/>
              </w:rPr>
              <w:t>CPU数量≥2</w:t>
            </w:r>
          </w:p>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内存型号≥DDR4-3200MHz</w:t>
            </w:r>
          </w:p>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内存数量≥8条</w:t>
            </w:r>
          </w:p>
          <w:p>
            <w:pPr>
              <w:pBdr>
                <w:bottom w:val="none" w:color="auto" w:sz="0" w:space="0"/>
              </w:pBdr>
              <w:rPr>
                <w:rFonts w:hint="default" w:ascii="宋体" w:hAnsi="宋体" w:eastAsia="宋体" w:cs="宋体"/>
                <w:szCs w:val="21"/>
                <w:lang w:val="en-US" w:eastAsia="zh-CN"/>
              </w:rPr>
            </w:pPr>
            <w:r>
              <w:rPr>
                <w:rFonts w:hint="eastAsia" w:ascii="宋体" w:hAnsi="宋体" w:eastAsia="宋体" w:cs="宋体"/>
                <w:szCs w:val="21"/>
                <w:lang w:val="en-US" w:eastAsia="zh-CN"/>
              </w:rPr>
              <w:t>内存总容量≥256G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ind w:left="420" w:leftChars="0" w:hanging="420" w:hangingChars="200"/>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684" w:type="dxa"/>
            <w:vMerge w:val="continue"/>
            <w:vAlign w:val="top"/>
          </w:tcPr>
          <w:p>
            <w:pPr>
              <w:tabs>
                <w:tab w:val="left" w:pos="34"/>
                <w:tab w:val="left" w:pos="459"/>
              </w:tabs>
              <w:ind w:left="420" w:leftChars="0" w:hanging="420" w:hangingChars="200"/>
              <w:jc w:val="center"/>
              <w:rPr>
                <w:rFonts w:hint="eastAsia"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ind w:left="420" w:leftChars="0" w:hanging="420" w:hangingChars="200"/>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default" w:ascii="宋体" w:hAnsi="宋体" w:eastAsia="宋体" w:cs="宋体"/>
                <w:szCs w:val="21"/>
                <w:lang w:val="en-US" w:eastAsia="zh-CN"/>
              </w:rPr>
            </w:pPr>
            <w:r>
              <w:rPr>
                <w:rFonts w:hint="eastAsia" w:ascii="宋体" w:hAnsi="宋体" w:eastAsia="宋体" w:cs="宋体"/>
                <w:szCs w:val="21"/>
                <w:lang w:val="en-US" w:eastAsia="zh-CN"/>
              </w:rPr>
              <w:t>主板内存槽数量</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非板载内存的可扩展插槽数量≥ 32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684" w:type="dxa"/>
            <w:vMerge w:val="continue"/>
            <w:vAlign w:val="top"/>
          </w:tcPr>
          <w:p>
            <w:pPr>
              <w:tabs>
                <w:tab w:val="left" w:pos="34"/>
                <w:tab w:val="left" w:pos="459"/>
              </w:tabs>
              <w:jc w:val="center"/>
              <w:rPr>
                <w:rFonts w:hint="eastAsia"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default" w:ascii="宋体" w:hAnsi="宋体" w:eastAsia="宋体" w:cs="宋体"/>
                <w:szCs w:val="21"/>
                <w:lang w:val="en-US" w:eastAsia="zh-CN"/>
              </w:rPr>
            </w:pPr>
            <w:r>
              <w:rPr>
                <w:rFonts w:hint="default" w:ascii="宋体" w:hAnsi="宋体" w:eastAsia="宋体" w:cs="宋体"/>
                <w:szCs w:val="21"/>
                <w:lang w:val="en-US" w:eastAsia="zh-CN"/>
              </w:rPr>
              <w:t>主板存储接口</w:t>
            </w:r>
          </w:p>
        </w:tc>
        <w:tc>
          <w:tcPr>
            <w:tcW w:w="4720" w:type="dxa"/>
            <w:shd w:val="clear" w:color="auto" w:fill="auto"/>
            <w:vAlign w:val="top"/>
          </w:tcPr>
          <w:p>
            <w:pPr>
              <w:tabs>
                <w:tab w:val="left" w:pos="34"/>
                <w:tab w:val="left" w:pos="459"/>
              </w:tabs>
              <w:rPr>
                <w:rFonts w:hint="default" w:ascii="宋体" w:hAnsi="宋体" w:eastAsia="宋体" w:cs="宋体"/>
                <w:szCs w:val="21"/>
                <w:lang w:val="en-US" w:eastAsia="zh-CN"/>
              </w:rPr>
            </w:pPr>
            <w:r>
              <w:rPr>
                <w:rFonts w:ascii="宋体" w:hAnsi="宋体" w:eastAsia="宋体" w:cs="宋体"/>
                <w:b w:val="0"/>
                <w:i w:val="0"/>
                <w:strike w:val="0"/>
                <w:spacing w:val="0"/>
                <w:u w:val="none"/>
              </w:rPr>
              <w:t>至少支持 SATA、SAS、M.2、U.2 等存储接口中的 1 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684" w:type="dxa"/>
            <w:vMerge w:val="continue"/>
            <w:vAlign w:val="top"/>
          </w:tcPr>
          <w:p>
            <w:pPr>
              <w:tabs>
                <w:tab w:val="left" w:pos="34"/>
                <w:tab w:val="left" w:pos="459"/>
              </w:tabs>
              <w:jc w:val="center"/>
              <w:rPr>
                <w:rFonts w:hint="eastAsia"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PCIe插槽接口</w:t>
            </w:r>
          </w:p>
        </w:tc>
        <w:tc>
          <w:tcPr>
            <w:tcW w:w="4720" w:type="dxa"/>
            <w:shd w:val="clear" w:color="auto" w:fill="auto"/>
            <w:vAlign w:val="top"/>
          </w:tcPr>
          <w:p>
            <w:pPr>
              <w:pBdr>
                <w:bottom w:val="none" w:color="auto" w:sz="0" w:space="0"/>
              </w:pBdr>
              <w:rPr>
                <w:rFonts w:hint="eastAsia" w:ascii="宋体" w:hAnsi="宋体" w:eastAsia="宋体" w:cs="宋体"/>
                <w:szCs w:val="21"/>
                <w:lang w:val="en-US" w:eastAsia="zh-CN"/>
              </w:rPr>
            </w:pPr>
            <w:r>
              <w:rPr>
                <w:rFonts w:hint="eastAsia" w:ascii="宋体" w:hAnsi="宋体" w:eastAsia="宋体" w:cs="宋体"/>
                <w:szCs w:val="21"/>
                <w:lang w:val="en-US" w:eastAsia="zh-CN"/>
              </w:rPr>
              <w:t>符合 PCIe4.0 或以上的高速串行计算机扩展总线标准，PCIe 的接口速率与位宽需保证向下兼容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eastAsia" w:ascii="宋体" w:hAnsi="宋体" w:eastAsia="宋体" w:cs="宋体"/>
                <w:szCs w:val="21"/>
                <w:lang w:val="en-US" w:eastAsia="zh-CN"/>
              </w:rPr>
            </w:pPr>
            <w:r>
              <w:rPr>
                <w:rFonts w:hint="eastAsia" w:ascii="宋体" w:hAnsi="宋体" w:eastAsia="宋体" w:cs="宋体"/>
                <w:szCs w:val="21"/>
                <w:lang w:val="en-US" w:eastAsia="zh-CN"/>
              </w:rPr>
              <w:t>6</w:t>
            </w:r>
          </w:p>
        </w:tc>
        <w:tc>
          <w:tcPr>
            <w:tcW w:w="684" w:type="dxa"/>
            <w:vMerge w:val="continue"/>
            <w:vAlign w:val="top"/>
          </w:tcPr>
          <w:p>
            <w:pPr>
              <w:tabs>
                <w:tab w:val="left" w:pos="34"/>
                <w:tab w:val="left" w:pos="459"/>
              </w:tabs>
              <w:jc w:val="center"/>
              <w:rPr>
                <w:rFonts w:hint="eastAsia"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主板 PCIe插槽数量及规格</w:t>
            </w:r>
          </w:p>
        </w:tc>
        <w:tc>
          <w:tcPr>
            <w:tcW w:w="4720" w:type="dxa"/>
            <w:shd w:val="clear" w:color="auto" w:fill="auto"/>
            <w:vAlign w:val="top"/>
          </w:tcPr>
          <w:p>
            <w:pPr>
              <w:pBdr>
                <w:bottom w:val="none" w:color="auto" w:sz="0" w:space="0"/>
              </w:pBdr>
              <w:rPr>
                <w:rFonts w:hint="eastAsia" w:ascii="宋体" w:hAnsi="宋体" w:eastAsia="宋体" w:cs="宋体"/>
                <w:szCs w:val="21"/>
                <w:lang w:val="en-US" w:eastAsia="zh-CN"/>
              </w:rPr>
            </w:pPr>
            <w:r>
              <w:rPr>
                <w:rFonts w:hint="eastAsia" w:ascii="宋体" w:hAnsi="宋体" w:eastAsia="宋体" w:cs="宋体"/>
                <w:szCs w:val="21"/>
                <w:lang w:val="en-US" w:eastAsia="zh-CN"/>
              </w:rPr>
              <w:t>PCIe 4.0插槽或接口≥ 10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7</w:t>
            </w:r>
          </w:p>
        </w:tc>
        <w:tc>
          <w:tcPr>
            <w:tcW w:w="684" w:type="dxa"/>
            <w:vMerge w:val="continue"/>
            <w:vAlign w:val="top"/>
          </w:tcPr>
          <w:p>
            <w:pPr>
              <w:tabs>
                <w:tab w:val="left" w:pos="34"/>
                <w:tab w:val="left" w:pos="459"/>
              </w:tabs>
              <w:jc w:val="center"/>
              <w:rPr>
                <w:rFonts w:hint="eastAsia"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网络接口</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支持网络接口应不少于 6 个 1GE 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8</w:t>
            </w:r>
          </w:p>
        </w:tc>
        <w:tc>
          <w:tcPr>
            <w:tcW w:w="684" w:type="dxa"/>
            <w:vMerge w:val="continue"/>
            <w:vAlign w:val="top"/>
          </w:tcPr>
          <w:p>
            <w:pPr>
              <w:tabs>
                <w:tab w:val="left" w:pos="34"/>
                <w:tab w:val="left" w:pos="459"/>
              </w:tabs>
              <w:jc w:val="center"/>
              <w:rPr>
                <w:rFonts w:hint="eastAsia" w:ascii="宋体" w:hAnsi="宋体" w:eastAsia="宋体" w:cs="宋体"/>
                <w:szCs w:val="21"/>
                <w:lang w:val="en-US" w:eastAsia="zh-CN"/>
              </w:rPr>
            </w:pPr>
          </w:p>
        </w:tc>
        <w:tc>
          <w:tcPr>
            <w:tcW w:w="785" w:type="dxa"/>
            <w:vMerge w:val="restart"/>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内存 规格</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内存数量</w:t>
            </w:r>
          </w:p>
        </w:tc>
        <w:tc>
          <w:tcPr>
            <w:tcW w:w="4720" w:type="dxa"/>
            <w:shd w:val="clear" w:color="auto" w:fill="auto"/>
            <w:vAlign w:val="top"/>
          </w:tcPr>
          <w:p>
            <w:pPr>
              <w:tabs>
                <w:tab w:val="left" w:pos="34"/>
                <w:tab w:val="left" w:pos="459"/>
              </w:tabs>
              <w:rPr>
                <w:rFonts w:hint="default" w:ascii="宋体" w:hAnsi="宋体" w:eastAsia="宋体" w:cs="宋体"/>
                <w:szCs w:val="21"/>
                <w:lang w:val="en-US" w:eastAsia="zh-CN"/>
              </w:rPr>
            </w:pPr>
            <w:r>
              <w:rPr>
                <w:rFonts w:hint="eastAsia" w:ascii="宋体" w:hAnsi="宋体" w:eastAsia="宋体" w:cs="宋体"/>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9</w:t>
            </w:r>
          </w:p>
        </w:tc>
        <w:tc>
          <w:tcPr>
            <w:tcW w:w="684" w:type="dxa"/>
            <w:vMerge w:val="continue"/>
            <w:vAlign w:val="top"/>
          </w:tcPr>
          <w:p>
            <w:pPr>
              <w:tabs>
                <w:tab w:val="left" w:pos="34"/>
                <w:tab w:val="left" w:pos="459"/>
              </w:tabs>
              <w:jc w:val="center"/>
              <w:rPr>
                <w:rFonts w:hint="eastAsia"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内存规格</w:t>
            </w:r>
          </w:p>
        </w:tc>
        <w:tc>
          <w:tcPr>
            <w:tcW w:w="4720" w:type="dxa"/>
            <w:shd w:val="clear" w:color="auto" w:fill="auto"/>
            <w:vAlign w:val="top"/>
          </w:tcPr>
          <w:p>
            <w:pPr>
              <w:pBdr>
                <w:bottom w:val="none" w:color="auto" w:sz="0" w:space="0"/>
              </w:pBdr>
              <w:rPr>
                <w:rFonts w:hint="default" w:ascii="宋体" w:hAnsi="宋体" w:eastAsia="宋体" w:cs="宋体"/>
                <w:szCs w:val="21"/>
                <w:lang w:val="en-US" w:eastAsia="zh-CN"/>
              </w:rPr>
            </w:pPr>
            <w:r>
              <w:rPr>
                <w:rFonts w:hint="eastAsia" w:ascii="宋体" w:hAnsi="宋体" w:eastAsia="宋体" w:cs="宋体"/>
                <w:szCs w:val="21"/>
                <w:lang w:val="en-US" w:eastAsia="zh-CN"/>
              </w:rPr>
              <w:t>≥DDR4-3200MHz;内存总容量≥ 256GB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10</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内存通道</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支持多个内存接口通道，每个通道可支持 1DPC 或 2DPC，当支持 2DPC 时，印制电路板上应具备插槽的序号标识，具体通道数应在</w:t>
            </w:r>
            <w:r>
              <w:rPr>
                <w:rFonts w:ascii="宋体" w:hAnsi="宋体" w:eastAsia="宋体" w:cs="宋体"/>
                <w:b w:val="0"/>
                <w:i w:val="0"/>
                <w:strike w:val="0"/>
                <w:spacing w:val="0"/>
                <w:u w:val="none"/>
              </w:rPr>
              <w:t>跟随机器打包的文件中</w:t>
            </w:r>
            <w:r>
              <w:rPr>
                <w:rFonts w:hint="eastAsia" w:ascii="宋体" w:hAnsi="宋体" w:eastAsia="宋体" w:cs="宋体"/>
                <w:szCs w:val="21"/>
                <w:lang w:val="en-US" w:eastAsia="zh-CN"/>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11</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restart"/>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存储 规格</w:t>
            </w:r>
          </w:p>
        </w:tc>
        <w:tc>
          <w:tcPr>
            <w:tcW w:w="1257" w:type="dxa"/>
            <w:shd w:val="clear" w:color="auto" w:fill="auto"/>
            <w:vAlign w:val="top"/>
          </w:tcPr>
          <w:p>
            <w:pPr>
              <w:tabs>
                <w:tab w:val="left" w:pos="34"/>
                <w:tab w:val="left" w:pos="459"/>
              </w:tabs>
              <w:rPr>
                <w:rFonts w:hint="default" w:ascii="宋体" w:hAnsi="宋体" w:eastAsia="宋体" w:cs="宋体"/>
                <w:szCs w:val="21"/>
                <w:lang w:val="en-US" w:eastAsia="zh-CN"/>
              </w:rPr>
            </w:pPr>
            <w:r>
              <w:rPr>
                <w:rFonts w:hint="eastAsia" w:ascii="宋体" w:hAnsi="宋体" w:eastAsia="宋体" w:cs="宋体"/>
                <w:szCs w:val="21"/>
                <w:lang w:val="en-US" w:eastAsia="zh-CN"/>
              </w:rPr>
              <w:t>硬盘类型</w:t>
            </w:r>
          </w:p>
        </w:tc>
        <w:tc>
          <w:tcPr>
            <w:tcW w:w="4720" w:type="dxa"/>
            <w:shd w:val="clear" w:color="auto" w:fill="auto"/>
            <w:vAlign w:val="top"/>
          </w:tcPr>
          <w:p>
            <w:pPr>
              <w:pBdr>
                <w:bottom w:val="none" w:color="auto" w:sz="0" w:space="0"/>
              </w:pBdr>
              <w:rPr>
                <w:rFonts w:hint="eastAsia" w:ascii="宋体" w:hAnsi="宋体" w:eastAsia="宋体" w:cs="宋体"/>
                <w:szCs w:val="21"/>
                <w:lang w:val="en-US" w:eastAsia="zh-CN"/>
              </w:rPr>
            </w:pPr>
            <w:r>
              <w:rPr>
                <w:rFonts w:hint="eastAsia" w:ascii="宋体" w:hAnsi="宋体" w:eastAsia="宋体" w:cs="宋体"/>
                <w:szCs w:val="21"/>
                <w:lang w:val="en-US" w:eastAsia="zh-CN"/>
              </w:rPr>
              <w:t>支持</w:t>
            </w:r>
            <w:r>
              <w:rPr>
                <w:rFonts w:hint="default" w:ascii="宋体" w:hAnsi="宋体" w:eastAsia="宋体" w:cs="宋体"/>
                <w:szCs w:val="21"/>
                <w:lang w:val="en-US" w:eastAsia="zh-CN"/>
              </w:rPr>
              <w:t>SATA、SAS、NVME等磁盘类型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12</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硬磁盘实配容量</w:t>
            </w:r>
          </w:p>
        </w:tc>
        <w:tc>
          <w:tcPr>
            <w:tcW w:w="4720" w:type="dxa"/>
            <w:shd w:val="clear" w:color="auto" w:fill="auto"/>
            <w:vAlign w:val="top"/>
          </w:tcPr>
          <w:p>
            <w:pPr>
              <w:tabs>
                <w:tab w:val="left" w:pos="34"/>
                <w:tab w:val="left" w:pos="459"/>
              </w:tabs>
              <w:rPr>
                <w:rFonts w:hint="eastAsia" w:ascii="宋体" w:hAnsi="宋体" w:eastAsia="宋体" w:cs="宋体"/>
                <w:szCs w:val="21"/>
                <w:shd w:val="clear" w:color="auto" w:fill="auto"/>
                <w:lang w:val="en-US" w:eastAsia="zh-CN"/>
              </w:rPr>
            </w:pPr>
            <w:r>
              <w:rPr>
                <w:rFonts w:hint="eastAsia" w:ascii="宋体" w:hAnsi="宋体" w:eastAsia="宋体" w:cs="宋体"/>
                <w:szCs w:val="21"/>
                <w:lang w:val="en-US" w:eastAsia="zh-CN"/>
              </w:rPr>
              <w:t>配备固态盘，应提供至少 1 种类型固态盘接口，如 UFS、SATA、PCIe等，单块</w:t>
            </w:r>
            <w:r>
              <w:rPr>
                <w:rFonts w:hint="eastAsia" w:ascii="宋体" w:hAnsi="宋体" w:eastAsia="宋体" w:cs="宋体"/>
                <w:szCs w:val="21"/>
                <w:shd w:val="clear" w:color="auto" w:fill="auto"/>
                <w:lang w:val="en-US" w:eastAsia="zh-CN"/>
              </w:rPr>
              <w:t>容量不低于480G企业级SSD硬盘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13</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硬盘实配数量</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配备硬磁盘，服务器提供的实配硬磁盘数量应不小于 2 块，</w:t>
            </w:r>
            <w:r>
              <w:rPr>
                <w:rFonts w:hint="eastAsia" w:ascii="宋体" w:hAnsi="宋体" w:eastAsia="宋体" w:cs="宋体"/>
                <w:szCs w:val="21"/>
                <w:shd w:val="clear" w:color="auto" w:fill="auto"/>
                <w:lang w:val="en-US" w:eastAsia="zh-CN"/>
              </w:rPr>
              <w:t>可实现互为备份</w:t>
            </w:r>
            <w:r>
              <w:rPr>
                <w:rFonts w:hint="eastAsia" w:ascii="宋体" w:hAnsi="宋体" w:eastAsia="宋体" w:cs="宋体"/>
                <w:szCs w:val="21"/>
                <w:lang w:val="en-US" w:eastAsia="zh-CN"/>
              </w:rPr>
              <w:t>，支持热插拔；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14</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硬盘插槽 数量及规 格</w:t>
            </w:r>
          </w:p>
        </w:tc>
        <w:tc>
          <w:tcPr>
            <w:tcW w:w="4720" w:type="dxa"/>
            <w:shd w:val="clear" w:color="auto" w:fill="auto"/>
            <w:vAlign w:val="top"/>
          </w:tcPr>
          <w:p>
            <w:pPr>
              <w:numPr>
                <w:ilvl w:val="0"/>
                <w:numId w:val="4"/>
              </w:num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供应商应给出配置的硬盘尺寸， 如 2.5 英寸、3.5 英寸硬磁盘；</w:t>
            </w:r>
          </w:p>
          <w:p>
            <w:pPr>
              <w:numPr>
                <w:ilvl w:val="0"/>
                <w:numId w:val="4"/>
              </w:numPr>
              <w:pBdr>
                <w:bottom w:val="none" w:color="auto" w:sz="0" w:space="0"/>
              </w:pBd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机箱高度为 88.9mm 的服务器可支持的硬盘数量应不少于 8 块，机箱高度为 44.45mm 的服务器可支持的硬盘数量应不少于 4 块。 c) 存储型服务器可支持硬盘数量应不少于 24 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15</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shd w:val="clear" w:color="auto" w:fill="auto"/>
            <w:vAlign w:val="top"/>
          </w:tcPr>
          <w:p>
            <w:pPr>
              <w:tabs>
                <w:tab w:val="left" w:pos="34"/>
                <w:tab w:val="left" w:pos="459"/>
              </w:tabs>
              <w:jc w:val="center"/>
              <w:rPr>
                <w:rFonts w:ascii="宋体" w:hAnsi="宋体" w:eastAsia="宋体" w:cs="宋体"/>
                <w:szCs w:val="21"/>
              </w:rPr>
            </w:pPr>
            <w:r>
              <w:rPr>
                <w:rFonts w:ascii="宋体" w:hAnsi="宋体" w:eastAsia="宋体" w:cs="宋体"/>
                <w:szCs w:val="21"/>
              </w:rPr>
              <w:t>RAID卡规格</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ascii="宋体" w:hAnsi="宋体" w:eastAsia="宋体" w:cs="宋体"/>
                <w:b w:val="0"/>
                <w:i w:val="0"/>
                <w:strike w:val="0"/>
                <w:spacing w:val="0"/>
                <w:u w:val="none"/>
              </w:rPr>
              <w:t>RAID 卡支持的 SAS 接口数</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16</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网络 规格</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网口速率 和数量</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1Gb网卡数量≥2，总网口（不包含管理网口）≥6；</w:t>
            </w:r>
          </w:p>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10Gb网卡数量≥2，总网口（不包含管理网口）≥4；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17</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restart"/>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外部 接口规格</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显示接口</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显示接口类型应不少于 1 种，如： VGA、DP、HDMI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18</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USB 接口</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配备 USB 接口，如 USB2.0、USB3.0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19</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restart"/>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电源 规格</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电源模块 数量</w:t>
            </w:r>
          </w:p>
        </w:tc>
        <w:tc>
          <w:tcPr>
            <w:tcW w:w="4720" w:type="dxa"/>
            <w:shd w:val="clear" w:color="auto" w:fill="auto"/>
            <w:vAlign w:val="top"/>
          </w:tcPr>
          <w:p>
            <w:pPr>
              <w:tabs>
                <w:tab w:val="left" w:pos="34"/>
                <w:tab w:val="left" w:pos="459"/>
              </w:tabs>
              <w:rPr>
                <w:rFonts w:hint="default" w:ascii="宋体" w:hAnsi="宋体" w:eastAsia="宋体" w:cs="宋体"/>
                <w:szCs w:val="21"/>
                <w:lang w:val="en-US" w:eastAsia="zh-CN"/>
              </w:rPr>
            </w:pPr>
            <w:r>
              <w:rPr>
                <w:rFonts w:hint="eastAsia" w:ascii="宋体" w:hAnsi="宋体" w:eastAsia="宋体" w:cs="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20</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电源功率</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电源模块功率应有一定冗余，满足处理器满载时的需求，支持热插拔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21</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restart"/>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整机 规格</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外观和结 构</w:t>
            </w:r>
          </w:p>
        </w:tc>
        <w:tc>
          <w:tcPr>
            <w:tcW w:w="4720" w:type="dxa"/>
            <w:shd w:val="clear" w:color="auto" w:fill="auto"/>
            <w:vAlign w:val="top"/>
          </w:tcPr>
          <w:p>
            <w:pPr>
              <w:numPr>
                <w:ilvl w:val="0"/>
                <w:numId w:val="5"/>
              </w:numPr>
              <w:tabs>
                <w:tab w:val="left" w:pos="34"/>
                <w:tab w:val="left" w:pos="459"/>
                <w:tab w:val="clear" w:pos="312"/>
              </w:tabs>
              <w:rPr>
                <w:rFonts w:hint="eastAsia" w:ascii="宋体" w:hAnsi="宋体" w:eastAsia="宋体" w:cs="宋体"/>
                <w:szCs w:val="21"/>
                <w:lang w:val="en-US" w:eastAsia="zh-CN"/>
              </w:rPr>
            </w:pPr>
            <w:r>
              <w:rPr>
                <w:rFonts w:hint="eastAsia" w:ascii="宋体" w:hAnsi="宋体" w:eastAsia="宋体" w:cs="宋体"/>
                <w:szCs w:val="21"/>
                <w:lang w:val="en-US" w:eastAsia="zh-CN"/>
              </w:rPr>
              <w:t>服务器的零部件应紧固无松动， 可插拔部件应可靠连接，开关、按钮和其它控制部件应灵活可靠，布局应方便使用；</w:t>
            </w:r>
          </w:p>
          <w:p>
            <w:pPr>
              <w:numPr>
                <w:ilvl w:val="0"/>
                <w:numId w:val="5"/>
              </w:numPr>
              <w:tabs>
                <w:tab w:val="left" w:pos="34"/>
                <w:tab w:val="left" w:pos="459"/>
                <w:tab w:val="clear" w:pos="312"/>
              </w:tabs>
              <w:rPr>
                <w:rFonts w:hint="eastAsia" w:ascii="宋体" w:hAnsi="宋体" w:eastAsia="宋体" w:cs="宋体"/>
                <w:szCs w:val="21"/>
                <w:lang w:val="en-US" w:eastAsia="zh-CN"/>
              </w:rPr>
            </w:pPr>
            <w:r>
              <w:rPr>
                <w:rFonts w:hint="eastAsia" w:ascii="宋体" w:hAnsi="宋体" w:eastAsia="宋体" w:cs="宋体"/>
                <w:szCs w:val="21"/>
                <w:lang w:val="en-US" w:eastAsia="zh-CN"/>
              </w:rPr>
              <w:t>产品表面不应有明显的凹痕、划伤、裂缝、变形和污染等。表面涂层均匀，不应起泡、龟裂、脱落和磨损，金属零部件无锈蚀及其它机械损伤；</w:t>
            </w:r>
          </w:p>
          <w:p>
            <w:pPr>
              <w:numPr>
                <w:ilvl w:val="0"/>
                <w:numId w:val="5"/>
              </w:numPr>
              <w:tabs>
                <w:tab w:val="left" w:pos="34"/>
                <w:tab w:val="left" w:pos="459"/>
                <w:tab w:val="clear" w:pos="312"/>
              </w:tabs>
              <w:rPr>
                <w:rFonts w:hint="eastAsia" w:ascii="宋体" w:hAnsi="宋体" w:eastAsia="宋体" w:cs="宋体"/>
                <w:szCs w:val="21"/>
                <w:lang w:val="en-US" w:eastAsia="zh-CN"/>
              </w:rPr>
            </w:pPr>
            <w:r>
              <w:rPr>
                <w:rFonts w:hint="eastAsia" w:ascii="宋体" w:hAnsi="宋体" w:eastAsia="宋体" w:cs="宋体"/>
                <w:szCs w:val="21"/>
                <w:lang w:val="en-US" w:eastAsia="zh-CN"/>
              </w:rPr>
              <w:t>产品表面说明功能的文字、符号和标志应清晰、端正且牢固；</w:t>
            </w:r>
          </w:p>
          <w:p>
            <w:pPr>
              <w:numPr>
                <w:ilvl w:val="0"/>
                <w:numId w:val="5"/>
              </w:numPr>
              <w:tabs>
                <w:tab w:val="left" w:pos="34"/>
                <w:tab w:val="left" w:pos="459"/>
                <w:tab w:val="clear" w:pos="312"/>
              </w:tabs>
              <w:rPr>
                <w:rFonts w:hint="eastAsia" w:ascii="宋体" w:hAnsi="宋体" w:eastAsia="宋体" w:cs="宋体"/>
                <w:szCs w:val="21"/>
                <w:lang w:val="en-US" w:eastAsia="zh-CN"/>
              </w:rPr>
            </w:pPr>
            <w:r>
              <w:rPr>
                <w:rFonts w:hint="eastAsia" w:ascii="宋体" w:hAnsi="宋体" w:eastAsia="宋体" w:cs="宋体"/>
                <w:szCs w:val="21"/>
                <w:lang w:val="en-US" w:eastAsia="zh-CN"/>
              </w:rPr>
              <w:t>应在服务器的显著位置提供运行状态的指示功能，并在跟随机器打包的文件中明确具体含义；</w:t>
            </w:r>
          </w:p>
          <w:p>
            <w:pPr>
              <w:numPr>
                <w:ilvl w:val="0"/>
                <w:numId w:val="5"/>
              </w:numPr>
              <w:tabs>
                <w:tab w:val="left" w:pos="34"/>
                <w:tab w:val="left" w:pos="459"/>
                <w:tab w:val="clear" w:pos="312"/>
              </w:tabs>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机架、机箱的尺寸应符合通用机柜的安装要求，插入总线插座的电路板接口外形尺寸应符合有关总线 标准的规定，将机箱固定在机柜上， 机箱底面最大下垂变形不得干涉相 邻机体； </w:t>
            </w:r>
          </w:p>
          <w:p>
            <w:pPr>
              <w:numPr>
                <w:ilvl w:val="0"/>
                <w:numId w:val="5"/>
              </w:numPr>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高密度服务器应给出 CPU 个数与机柜高度； </w:t>
            </w:r>
          </w:p>
          <w:p>
            <w:pPr>
              <w:numPr>
                <w:ilvl w:val="0"/>
                <w:numId w:val="5"/>
              </w:numPr>
              <w:pBdr>
                <w:bottom w:val="none" w:color="auto" w:sz="0" w:space="0"/>
              </w:pBdr>
              <w:rPr>
                <w:rFonts w:hint="eastAsia" w:ascii="宋体" w:hAnsi="宋体" w:eastAsia="宋体" w:cs="宋体"/>
                <w:szCs w:val="21"/>
                <w:lang w:val="en-US" w:eastAsia="zh-CN"/>
              </w:rPr>
            </w:pPr>
            <w:r>
              <w:rPr>
                <w:rFonts w:hint="eastAsia" w:ascii="宋体" w:hAnsi="宋体" w:eastAsia="宋体" w:cs="宋体"/>
                <w:szCs w:val="21"/>
                <w:lang w:val="en-US" w:eastAsia="zh-CN"/>
              </w:rPr>
              <w:t>服务器尺寸具体要求在</w:t>
            </w:r>
            <w:r>
              <w:rPr>
                <w:rFonts w:ascii="宋体" w:hAnsi="宋体" w:eastAsia="宋体" w:cs="宋体"/>
                <w:b w:val="0"/>
                <w:i w:val="0"/>
                <w:strike w:val="0"/>
                <w:spacing w:val="0"/>
                <w:u w:val="none"/>
              </w:rPr>
              <w:t>跟随机器打包的文件中</w:t>
            </w:r>
            <w:r>
              <w:rPr>
                <w:rFonts w:hint="eastAsia" w:ascii="宋体" w:hAnsi="宋体" w:eastAsia="宋体" w:cs="宋体"/>
                <w:szCs w:val="21"/>
                <w:lang w:val="en-US" w:eastAsia="zh-CN"/>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22</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尺寸（高 ×宽×深）</w:t>
            </w:r>
          </w:p>
        </w:tc>
        <w:tc>
          <w:tcPr>
            <w:tcW w:w="4720" w:type="dxa"/>
            <w:shd w:val="clear" w:color="auto" w:fill="auto"/>
            <w:vAlign w:val="top"/>
          </w:tcPr>
          <w:p>
            <w:pPr>
              <w:tabs>
                <w:tab w:val="left" w:pos="34"/>
                <w:tab w:val="left" w:pos="459"/>
              </w:tabs>
              <w:rPr>
                <w:rFonts w:hint="default" w:ascii="宋体" w:hAnsi="宋体" w:eastAsia="宋体" w:cs="宋体"/>
                <w:szCs w:val="21"/>
                <w:lang w:val="en-US" w:eastAsia="zh-CN"/>
              </w:rPr>
            </w:pPr>
            <w:r>
              <w:rPr>
                <w:rFonts w:hint="eastAsia" w:ascii="宋体" w:hAnsi="宋体" w:eastAsia="宋体" w:cs="宋体"/>
                <w:szCs w:val="21"/>
                <w:lang w:val="en-US" w:eastAsia="zh-CN"/>
              </w:rPr>
              <w:t>本次需求19英寸工业标准2U机架式服务器，配置机架安装套件；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23</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服务器导轨</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shd w:val="clear" w:color="auto" w:fill="auto"/>
                <w:lang w:val="en-US" w:eastAsia="zh-CN"/>
              </w:rPr>
              <w:t>供应商提供适配所</w:t>
            </w:r>
            <w:r>
              <w:rPr>
                <w:rFonts w:hint="eastAsia" w:ascii="宋体" w:hAnsi="宋体" w:eastAsia="宋体" w:cs="宋体"/>
                <w:szCs w:val="21"/>
                <w:lang w:val="en-US" w:eastAsia="zh-CN"/>
              </w:rPr>
              <w:t>供服务器的导轨、安装方式等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24</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环境适应 性</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气候环境适应性应符合 GB/T 9813.3 的有关规定，工作温度 5～40℃，贮存运输温度-40～55℃；工作相对湿度 35%～80%，贮存运输相对湿度 20％～93%（40℃）；大气压 86～106kPa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25</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机械环境 适应性</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机械环境适应性应符合 GB/T 9813.3 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26</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噪声</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符合 GB/T 9813.3 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27</w:t>
            </w:r>
          </w:p>
        </w:tc>
        <w:tc>
          <w:tcPr>
            <w:tcW w:w="684" w:type="dxa"/>
            <w:vMerge w:val="restart"/>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功能要求</w:t>
            </w:r>
          </w:p>
        </w:tc>
        <w:tc>
          <w:tcPr>
            <w:tcW w:w="785" w:type="dxa"/>
            <w:shd w:val="clear" w:color="auto" w:fill="auto"/>
            <w:vAlign w:val="top"/>
          </w:tcPr>
          <w:p>
            <w:pPr>
              <w:tabs>
                <w:tab w:val="left" w:pos="34"/>
                <w:tab w:val="left" w:pos="459"/>
              </w:tabs>
              <w:jc w:val="center"/>
              <w:rPr>
                <w:rFonts w:hint="eastAsia" w:ascii="宋体" w:hAnsi="宋体" w:eastAsia="宋体" w:cs="宋体"/>
                <w:szCs w:val="21"/>
                <w:lang w:val="en-US" w:eastAsia="zh-CN"/>
              </w:rPr>
            </w:pPr>
            <w:r>
              <w:rPr>
                <w:rFonts w:hint="eastAsia" w:ascii="宋体" w:hAnsi="宋体" w:eastAsia="宋体" w:cs="宋体"/>
                <w:szCs w:val="21"/>
              </w:rPr>
              <w:t>主板</w:t>
            </w:r>
            <w:r>
              <w:rPr>
                <w:rFonts w:hint="eastAsia" w:ascii="宋体" w:hAnsi="宋体" w:eastAsia="宋体" w:cs="宋体"/>
                <w:szCs w:val="21"/>
                <w:lang w:val="en-US" w:eastAsia="zh-CN"/>
              </w:rPr>
              <w:t>功能</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主板外部接口种类</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支持 USB、显示、管理等接口，如：VGA、DP、HDMI、USB3.0、PS/2 接口、 BMC 管理端口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28</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网络功能</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rPr>
              <w:t>网络功能</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支持网络连接、网络访问、数据交换和网络管控功能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29</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restart"/>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CPU功能</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计算处理</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支持通用计算及虚拟化功能。处理器需集成整型计算单元、浮点计算 单元、内存控制器、I/O 模块等，处理器与存储部件、网络部件、I/O 部件等组成计算系统，提供数据处理、网络接入等计算相关功能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30</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密码算法 实现</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CPU 芯片应符合 GM/T 0008 的相关规定，或芯片密码模块应符合 GB/T 37092 或 GM/T 0028 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31</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restart"/>
            <w:shd w:val="clear" w:color="auto" w:fill="auto"/>
            <w:vAlign w:val="top"/>
          </w:tcPr>
          <w:p>
            <w:pPr>
              <w:tabs>
                <w:tab w:val="left" w:pos="34"/>
                <w:tab w:val="left" w:pos="459"/>
              </w:tabs>
              <w:jc w:val="center"/>
              <w:rPr>
                <w:rFonts w:hint="eastAsia" w:ascii="宋体" w:hAnsi="宋体" w:eastAsia="宋体" w:cs="宋体"/>
                <w:szCs w:val="21"/>
              </w:rPr>
            </w:pPr>
            <w:r>
              <w:rPr>
                <w:rFonts w:hint="eastAsia" w:ascii="宋体" w:hAnsi="宋体" w:eastAsia="宋体" w:cs="宋体"/>
                <w:szCs w:val="21"/>
              </w:rPr>
              <w:t>RAID 卡功 能</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RAID 卡 RAID 级别 支持</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外插12Gb技术高性能阵列卡，配置≥1GB FLASH缓存，带超级电容，配置断电保护功能，支持0，1，5，10，50等RAID级别；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32</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hint="eastAsia"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RAID 卡 BBU 单元</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RAID 卡支持电池或电容备份单元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vMerge w:val="restart"/>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33</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restart"/>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GPU</w:t>
            </w:r>
          </w:p>
        </w:tc>
        <w:tc>
          <w:tcPr>
            <w:tcW w:w="1257" w:type="dxa"/>
            <w:shd w:val="clear" w:color="auto" w:fill="auto"/>
            <w:vAlign w:val="top"/>
          </w:tcPr>
          <w:p>
            <w:pPr>
              <w:tabs>
                <w:tab w:val="left" w:pos="34"/>
                <w:tab w:val="left" w:pos="459"/>
              </w:tabs>
              <w:rPr>
                <w:rFonts w:hint="default" w:ascii="宋体" w:hAnsi="宋体" w:eastAsia="宋体" w:cs="宋体"/>
                <w:szCs w:val="21"/>
                <w:lang w:val="en-US" w:eastAsia="zh-CN"/>
              </w:rPr>
            </w:pPr>
            <w:r>
              <w:rPr>
                <w:rFonts w:hint="eastAsia" w:ascii="宋体" w:hAnsi="宋体" w:eastAsia="宋体" w:cs="宋体"/>
                <w:szCs w:val="21"/>
                <w:lang w:val="en-US" w:eastAsia="zh-CN"/>
              </w:rPr>
              <w:t>数量</w:t>
            </w:r>
          </w:p>
        </w:tc>
        <w:tc>
          <w:tcPr>
            <w:tcW w:w="4720" w:type="dxa"/>
            <w:shd w:val="clear" w:color="auto" w:fill="auto"/>
            <w:vAlign w:val="top"/>
          </w:tcPr>
          <w:p>
            <w:pPr>
              <w:tabs>
                <w:tab w:val="left" w:pos="34"/>
                <w:tab w:val="left" w:pos="459"/>
              </w:tabs>
              <w:rPr>
                <w:rFonts w:hint="default" w:ascii="宋体" w:hAnsi="宋体" w:eastAsia="宋体" w:cs="宋体"/>
                <w:szCs w:val="21"/>
                <w:lang w:val="en-US" w:eastAsia="zh-CN"/>
              </w:rPr>
            </w:pPr>
            <w:r>
              <w:rPr>
                <w:rFonts w:hint="eastAsia" w:ascii="宋体" w:hAnsi="宋体" w:eastAsia="宋体" w:cs="宋体"/>
                <w:szCs w:val="21"/>
                <w:lang w:val="en-US" w:eastAsia="zh-CN"/>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vMerge w:val="continue"/>
            <w:shd w:val="clear" w:color="auto" w:fill="auto"/>
            <w:vAlign w:val="top"/>
          </w:tcPr>
          <w:p>
            <w:pPr>
              <w:tabs>
                <w:tab w:val="left" w:pos="34"/>
                <w:tab w:val="left" w:pos="459"/>
              </w:tabs>
              <w:jc w:val="center"/>
              <w:rPr>
                <w:rFonts w:hint="eastAsia" w:ascii="宋体" w:hAnsi="宋体" w:eastAsia="宋体" w:cs="宋体"/>
                <w:szCs w:val="21"/>
                <w:lang w:val="en-US" w:eastAsia="zh-CN"/>
              </w:rPr>
            </w:pP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hint="eastAsia" w:ascii="宋体" w:hAnsi="宋体" w:eastAsia="宋体" w:cs="宋体"/>
                <w:szCs w:val="21"/>
                <w:lang w:val="en-US" w:eastAsia="zh-CN"/>
              </w:rPr>
            </w:pPr>
          </w:p>
        </w:tc>
        <w:tc>
          <w:tcPr>
            <w:tcW w:w="1257" w:type="dxa"/>
            <w:shd w:val="clear" w:color="auto" w:fill="auto"/>
            <w:vAlign w:val="top"/>
          </w:tcPr>
          <w:p>
            <w:pPr>
              <w:tabs>
                <w:tab w:val="left" w:pos="34"/>
                <w:tab w:val="left" w:pos="459"/>
              </w:tabs>
              <w:rPr>
                <w:rFonts w:hint="default" w:ascii="宋体" w:hAnsi="宋体" w:eastAsia="宋体" w:cs="宋体"/>
                <w:szCs w:val="21"/>
                <w:lang w:val="en-US" w:eastAsia="zh-CN"/>
              </w:rPr>
            </w:pPr>
            <w:r>
              <w:rPr>
                <w:rFonts w:hint="eastAsia" w:ascii="宋体" w:hAnsi="宋体" w:eastAsia="宋体" w:cs="宋体"/>
                <w:szCs w:val="21"/>
                <w:lang w:val="en-US" w:eastAsia="zh-CN"/>
              </w:rPr>
              <w:t>显存容量</w:t>
            </w:r>
          </w:p>
        </w:tc>
        <w:tc>
          <w:tcPr>
            <w:tcW w:w="4720" w:type="dxa"/>
            <w:shd w:val="clear" w:color="auto" w:fill="auto"/>
            <w:vAlign w:val="top"/>
          </w:tcPr>
          <w:p>
            <w:pPr>
              <w:tabs>
                <w:tab w:val="left" w:pos="34"/>
                <w:tab w:val="left" w:pos="459"/>
              </w:tabs>
              <w:rPr>
                <w:rFonts w:hint="default" w:ascii="宋体" w:hAnsi="宋体" w:eastAsia="宋体" w:cs="宋体"/>
                <w:szCs w:val="21"/>
                <w:lang w:val="en-US" w:eastAsia="zh-CN"/>
              </w:rPr>
            </w:pPr>
            <w:r>
              <w:rPr>
                <w:rFonts w:hint="eastAsia" w:ascii="宋体" w:hAnsi="宋体" w:eastAsia="宋体" w:cs="宋体"/>
                <w:szCs w:val="21"/>
                <w:lang w:val="en-US" w:eastAsia="zh-CN"/>
              </w:rPr>
              <w:t>≥32G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vMerge w:val="continue"/>
            <w:shd w:val="clear" w:color="auto" w:fill="auto"/>
            <w:vAlign w:val="top"/>
          </w:tcPr>
          <w:p>
            <w:pPr>
              <w:tabs>
                <w:tab w:val="left" w:pos="34"/>
                <w:tab w:val="left" w:pos="459"/>
              </w:tabs>
              <w:jc w:val="center"/>
              <w:rPr>
                <w:rFonts w:hint="eastAsia" w:ascii="宋体" w:hAnsi="宋体" w:eastAsia="宋体" w:cs="宋体"/>
                <w:szCs w:val="21"/>
                <w:lang w:val="en-US" w:eastAsia="zh-CN"/>
              </w:rPr>
            </w:pP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hint="eastAsia" w:ascii="宋体" w:hAnsi="宋体" w:eastAsia="宋体" w:cs="宋体"/>
                <w:szCs w:val="21"/>
                <w:lang w:val="en-US" w:eastAsia="zh-CN"/>
              </w:rPr>
            </w:pPr>
          </w:p>
        </w:tc>
        <w:tc>
          <w:tcPr>
            <w:tcW w:w="1257" w:type="dxa"/>
            <w:shd w:val="clear" w:color="auto" w:fill="auto"/>
            <w:vAlign w:val="top"/>
          </w:tcPr>
          <w:p>
            <w:pPr>
              <w:tabs>
                <w:tab w:val="left" w:pos="34"/>
                <w:tab w:val="left" w:pos="459"/>
              </w:tabs>
              <w:rPr>
                <w:rFonts w:hint="eastAsia" w:ascii="宋体" w:hAnsi="宋体" w:eastAsia="宋体" w:cs="宋体"/>
                <w:kern w:val="2"/>
                <w:sz w:val="21"/>
                <w:szCs w:val="21"/>
                <w:lang w:val="en-US" w:eastAsia="zh-CN" w:bidi="ar-SA"/>
              </w:rPr>
            </w:pPr>
            <w:r>
              <w:rPr>
                <w:rFonts w:hint="eastAsia" w:ascii="宋体" w:hAnsi="宋体" w:eastAsia="宋体" w:cs="宋体"/>
                <w:szCs w:val="21"/>
              </w:rPr>
              <w:t>功耗</w:t>
            </w:r>
          </w:p>
        </w:tc>
        <w:tc>
          <w:tcPr>
            <w:tcW w:w="4720" w:type="dxa"/>
            <w:shd w:val="clear" w:color="auto" w:fill="auto"/>
            <w:vAlign w:val="top"/>
          </w:tcPr>
          <w:p>
            <w:pPr>
              <w:tabs>
                <w:tab w:val="left" w:pos="34"/>
                <w:tab w:val="left" w:pos="459"/>
              </w:tabs>
              <w:rPr>
                <w:rFonts w:hint="eastAsia" w:ascii="宋体" w:hAnsi="宋体" w:eastAsia="宋体" w:cs="宋体"/>
                <w:kern w:val="2"/>
                <w:sz w:val="21"/>
                <w:szCs w:val="21"/>
                <w:lang w:val="en-US" w:eastAsia="zh-CN" w:bidi="ar-SA"/>
              </w:rPr>
            </w:pPr>
            <w:r>
              <w:rPr>
                <w:rFonts w:hint="eastAsia" w:ascii="宋体" w:hAnsi="宋体" w:eastAsia="宋体" w:cs="宋体"/>
                <w:szCs w:val="21"/>
              </w:rPr>
              <w:t>单张G</w:t>
            </w:r>
            <w:r>
              <w:rPr>
                <w:rFonts w:ascii="宋体" w:hAnsi="宋体" w:eastAsia="宋体" w:cs="宋体"/>
                <w:szCs w:val="21"/>
              </w:rPr>
              <w:t>PU</w:t>
            </w:r>
            <w:r>
              <w:rPr>
                <w:rFonts w:hint="eastAsia" w:ascii="宋体" w:hAnsi="宋体" w:eastAsia="宋体" w:cs="宋体"/>
                <w:szCs w:val="21"/>
              </w:rPr>
              <w:t>功耗≤</w:t>
            </w:r>
            <w:r>
              <w:rPr>
                <w:rFonts w:ascii="宋体" w:hAnsi="宋体" w:eastAsia="宋体" w:cs="宋体"/>
                <w:szCs w:val="21"/>
              </w:rPr>
              <w: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vMerge w:val="continue"/>
            <w:shd w:val="clear" w:color="auto" w:fill="auto"/>
            <w:vAlign w:val="top"/>
          </w:tcPr>
          <w:p>
            <w:pPr>
              <w:tabs>
                <w:tab w:val="left" w:pos="34"/>
                <w:tab w:val="left" w:pos="459"/>
              </w:tabs>
              <w:jc w:val="center"/>
              <w:rPr>
                <w:rFonts w:hint="eastAsia" w:ascii="宋体" w:hAnsi="宋体" w:eastAsia="宋体" w:cs="宋体"/>
                <w:szCs w:val="21"/>
                <w:lang w:val="en-US" w:eastAsia="zh-CN"/>
              </w:rPr>
            </w:pP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hint="eastAsia" w:ascii="宋体" w:hAnsi="宋体" w:eastAsia="宋体" w:cs="宋体"/>
                <w:szCs w:val="21"/>
                <w:lang w:val="en-US" w:eastAsia="zh-CN"/>
              </w:rPr>
            </w:pPr>
          </w:p>
        </w:tc>
        <w:tc>
          <w:tcPr>
            <w:tcW w:w="1257" w:type="dxa"/>
            <w:shd w:val="clear" w:color="auto" w:fill="auto"/>
            <w:vAlign w:val="top"/>
          </w:tcPr>
          <w:p>
            <w:pPr>
              <w:tabs>
                <w:tab w:val="left" w:pos="34"/>
                <w:tab w:val="left" w:pos="459"/>
              </w:tabs>
              <w:rPr>
                <w:rFonts w:hint="default" w:ascii="宋体" w:hAnsi="宋体" w:eastAsia="宋体" w:cs="宋体"/>
                <w:szCs w:val="21"/>
                <w:lang w:val="en-US" w:eastAsia="zh-CN"/>
              </w:rPr>
            </w:pPr>
            <w:r>
              <w:rPr>
                <w:rFonts w:hint="eastAsia" w:ascii="宋体" w:hAnsi="宋体" w:eastAsia="宋体" w:cs="宋体"/>
                <w:szCs w:val="21"/>
                <w:lang w:val="en-US" w:eastAsia="zh-CN"/>
              </w:rPr>
              <w:t>兼容性</w:t>
            </w:r>
          </w:p>
        </w:tc>
        <w:tc>
          <w:tcPr>
            <w:tcW w:w="4720" w:type="dxa"/>
            <w:shd w:val="clear" w:color="auto" w:fill="auto"/>
            <w:vAlign w:val="top"/>
          </w:tcPr>
          <w:p>
            <w:pPr>
              <w:tabs>
                <w:tab w:val="left" w:pos="34"/>
                <w:tab w:val="left" w:pos="459"/>
              </w:tabs>
              <w:rPr>
                <w:rFonts w:hint="eastAsia" w:ascii="宋体" w:hAnsi="宋体" w:eastAsia="宋体" w:cs="宋体"/>
                <w:szCs w:val="21"/>
              </w:rPr>
            </w:pPr>
            <w:r>
              <w:rPr>
                <w:rFonts w:hint="eastAsia" w:ascii="宋体" w:hAnsi="宋体" w:eastAsia="宋体" w:cs="宋体"/>
                <w:szCs w:val="21"/>
              </w:rPr>
              <w:t>兼容当前主流的AI框架和软件，如TensorFlow、PyTorch等。支持开源大模型 chatglm3-6B 的部署及开发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vMerge w:val="continue"/>
            <w:shd w:val="clear" w:color="auto" w:fill="auto"/>
            <w:vAlign w:val="top"/>
          </w:tcPr>
          <w:p>
            <w:pPr>
              <w:tabs>
                <w:tab w:val="left" w:pos="34"/>
                <w:tab w:val="left" w:pos="459"/>
              </w:tabs>
              <w:jc w:val="center"/>
              <w:rPr>
                <w:rFonts w:hint="eastAsia" w:ascii="宋体" w:hAnsi="宋体" w:eastAsia="宋体" w:cs="宋体"/>
                <w:szCs w:val="21"/>
                <w:lang w:val="en-US" w:eastAsia="zh-CN"/>
              </w:rPr>
            </w:pP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hint="eastAsia" w:ascii="宋体" w:hAnsi="宋体" w:eastAsia="宋体" w:cs="宋体"/>
                <w:szCs w:val="21"/>
                <w:lang w:val="en-US" w:eastAsia="zh-CN"/>
              </w:rPr>
            </w:pPr>
          </w:p>
        </w:tc>
        <w:tc>
          <w:tcPr>
            <w:tcW w:w="1257" w:type="dxa"/>
            <w:shd w:val="clear" w:color="auto" w:fill="auto"/>
            <w:vAlign w:val="top"/>
          </w:tcPr>
          <w:p>
            <w:pPr>
              <w:tabs>
                <w:tab w:val="left" w:pos="34"/>
                <w:tab w:val="left" w:pos="459"/>
              </w:tabs>
              <w:rPr>
                <w:rFonts w:hint="default" w:ascii="宋体" w:hAnsi="宋体" w:eastAsia="宋体" w:cs="宋体"/>
                <w:szCs w:val="21"/>
                <w:lang w:val="en-US" w:eastAsia="zh-CN"/>
              </w:rPr>
            </w:pPr>
            <w:r>
              <w:rPr>
                <w:rFonts w:hint="eastAsia" w:ascii="宋体" w:hAnsi="宋体" w:eastAsia="宋体" w:cs="宋体"/>
                <w:szCs w:val="21"/>
                <w:lang w:val="en-US" w:eastAsia="zh-CN"/>
              </w:rPr>
              <w:t>算力能力</w:t>
            </w:r>
          </w:p>
        </w:tc>
        <w:tc>
          <w:tcPr>
            <w:tcW w:w="4720" w:type="dxa"/>
            <w:shd w:val="clear" w:color="auto" w:fill="auto"/>
            <w:vAlign w:val="top"/>
          </w:tcPr>
          <w:p>
            <w:pPr>
              <w:tabs>
                <w:tab w:val="left" w:pos="34"/>
                <w:tab w:val="left" w:pos="459"/>
              </w:tabs>
              <w:rPr>
                <w:rFonts w:hint="default" w:ascii="宋体" w:hAnsi="宋体" w:eastAsia="宋体" w:cs="宋体"/>
                <w:szCs w:val="21"/>
                <w:lang w:val="en-US" w:eastAsia="zh-CN"/>
              </w:rPr>
            </w:pPr>
            <w:r>
              <w:rPr>
                <w:rFonts w:hint="eastAsia" w:ascii="宋体" w:hAnsi="宋体" w:eastAsia="宋体" w:cs="宋体"/>
                <w:szCs w:val="21"/>
              </w:rPr>
              <w:t>F</w:t>
            </w:r>
            <w:r>
              <w:rPr>
                <w:rFonts w:ascii="宋体" w:hAnsi="宋体" w:eastAsia="宋体" w:cs="宋体"/>
                <w:szCs w:val="21"/>
              </w:rPr>
              <w:t>P32</w:t>
            </w:r>
            <w:r>
              <w:rPr>
                <w:rFonts w:hint="eastAsia" w:ascii="宋体" w:hAnsi="宋体" w:eastAsia="宋体" w:cs="宋体"/>
                <w:szCs w:val="21"/>
              </w:rPr>
              <w:t>≥</w:t>
            </w:r>
            <w:r>
              <w:rPr>
                <w:rFonts w:ascii="宋体" w:hAnsi="宋体" w:eastAsia="宋体" w:cs="宋体"/>
                <w:szCs w:val="21"/>
              </w:rPr>
              <w:t>18T</w:t>
            </w:r>
            <w:r>
              <w:rPr>
                <w:rFonts w:hint="eastAsia" w:ascii="宋体" w:hAnsi="宋体" w:eastAsia="宋体" w:cs="宋体"/>
                <w:szCs w:val="21"/>
              </w:rPr>
              <w:t>flops，F</w:t>
            </w:r>
            <w:r>
              <w:rPr>
                <w:rFonts w:ascii="宋体" w:hAnsi="宋体" w:eastAsia="宋体" w:cs="宋体"/>
                <w:szCs w:val="21"/>
              </w:rPr>
              <w:t>P16</w:t>
            </w:r>
            <w:r>
              <w:rPr>
                <w:rFonts w:hint="eastAsia" w:ascii="宋体" w:hAnsi="宋体" w:eastAsia="宋体" w:cs="宋体"/>
                <w:szCs w:val="21"/>
              </w:rPr>
              <w:t>≥</w:t>
            </w:r>
            <w:r>
              <w:rPr>
                <w:rFonts w:ascii="宋体" w:hAnsi="宋体" w:eastAsia="宋体" w:cs="宋体"/>
                <w:szCs w:val="21"/>
              </w:rPr>
              <w:t>72T</w:t>
            </w:r>
            <w:r>
              <w:rPr>
                <w:rFonts w:hint="eastAsia" w:ascii="宋体" w:hAnsi="宋体" w:eastAsia="宋体" w:cs="宋体"/>
                <w:szCs w:val="21"/>
              </w:rPr>
              <w:t>flops，I</w:t>
            </w:r>
            <w:r>
              <w:rPr>
                <w:rFonts w:ascii="宋体" w:hAnsi="宋体" w:eastAsia="宋体" w:cs="宋体"/>
                <w:szCs w:val="21"/>
              </w:rPr>
              <w:t>NT8</w:t>
            </w:r>
            <w:r>
              <w:rPr>
                <w:rFonts w:hint="eastAsia" w:ascii="宋体" w:hAnsi="宋体" w:eastAsia="宋体" w:cs="宋体"/>
                <w:szCs w:val="21"/>
              </w:rPr>
              <w:t>≥</w:t>
            </w:r>
            <w:r>
              <w:rPr>
                <w:rFonts w:ascii="宋体" w:hAnsi="宋体" w:eastAsia="宋体" w:cs="宋体"/>
                <w:szCs w:val="21"/>
              </w:rPr>
              <w:t>192TOPS.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34</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restart"/>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电源 功能</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电源热插 拔</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整机电源模块应具备热插拔功能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35</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电源过流 保护</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支持过流及短路保护的功能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restart"/>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整机 功能</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散热方式</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支持风冷或液冷等散热方式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37</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hint="eastAsia"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其他功能</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支持关键部件冗余（包括电源、风扇等）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38</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restart"/>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管理 系统功能</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BMC 固件 基础功能</w:t>
            </w:r>
          </w:p>
        </w:tc>
        <w:tc>
          <w:tcPr>
            <w:tcW w:w="4720" w:type="dxa"/>
            <w:shd w:val="clear" w:color="auto" w:fill="auto"/>
            <w:vAlign w:val="top"/>
          </w:tcPr>
          <w:p>
            <w:pPr>
              <w:numPr>
                <w:ilvl w:val="0"/>
                <w:numId w:val="6"/>
              </w:num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支持 DHCP 设置网络功能；</w:t>
            </w:r>
          </w:p>
          <w:p>
            <w:pPr>
              <w:numPr>
                <w:ilvl w:val="0"/>
                <w:numId w:val="6"/>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支持静态 IP 设置网络功能； </w:t>
            </w:r>
          </w:p>
          <w:p>
            <w:pPr>
              <w:numPr>
                <w:ilvl w:val="0"/>
                <w:numId w:val="6"/>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支持设备日志记录，包括但不限于登录日志、操作日志和报警日志等功能； </w:t>
            </w:r>
          </w:p>
          <w:p>
            <w:pPr>
              <w:numPr>
                <w:ilvl w:val="0"/>
                <w:numId w:val="6"/>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支持日志信息导出和记录删除功能；</w:t>
            </w:r>
          </w:p>
          <w:p>
            <w:pPr>
              <w:numPr>
                <w:ilvl w:val="0"/>
                <w:numId w:val="6"/>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支持通过管理接口向外输出准确的报警信息功能； </w:t>
            </w:r>
          </w:p>
          <w:p>
            <w:pPr>
              <w:numPr>
                <w:ilvl w:val="0"/>
                <w:numId w:val="6"/>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设备的 BMC 管理软件应能够按报警的严重程度进行区分； </w:t>
            </w:r>
          </w:p>
          <w:p>
            <w:pPr>
              <w:numPr>
                <w:ilvl w:val="0"/>
                <w:numId w:val="6"/>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支持 IPMI2.0、SNMP 或 Redfish 等接口功能； </w:t>
            </w:r>
          </w:p>
          <w:p>
            <w:pPr>
              <w:numPr>
                <w:ilvl w:val="0"/>
                <w:numId w:val="6"/>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支持键盘、鼠标和视频的重定向、文本控制台的重定向、远程虚拟媒体、高可靠的硬件监控和管理功能；</w:t>
            </w:r>
          </w:p>
          <w:p>
            <w:pPr>
              <w:numPr>
                <w:ilvl w:val="0"/>
                <w:numId w:val="6"/>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支持基于网络开启、关闭和重启设备的功能，并查询当前设备开机 运行状态；</w:t>
            </w:r>
          </w:p>
          <w:p>
            <w:pPr>
              <w:numPr>
                <w:ilvl w:val="0"/>
                <w:numId w:val="6"/>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支持故障提示功能，并可通过接口读取服务器故障信息；</w:t>
            </w:r>
          </w:p>
          <w:p>
            <w:pPr>
              <w:numPr>
                <w:ilvl w:val="0"/>
                <w:numId w:val="6"/>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支持基于网络的固件更新功能，包括 BMC 和 BIOS 等；</w:t>
            </w:r>
          </w:p>
          <w:p>
            <w:pPr>
              <w:numPr>
                <w:ilvl w:val="0"/>
                <w:numId w:val="6"/>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支持基于网络安装操作系统的功能，并可通过网络控制台访问设备；</w:t>
            </w:r>
          </w:p>
          <w:p>
            <w:pPr>
              <w:numPr>
                <w:ilvl w:val="0"/>
                <w:numId w:val="6"/>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支持通过本地的硬盘或光驱等存储设备，基于网络完成设备的操作系统安装功能；</w:t>
            </w:r>
          </w:p>
          <w:p>
            <w:pPr>
              <w:numPr>
                <w:ilvl w:val="0"/>
                <w:numId w:val="6"/>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支持通过浏览器打开管理界面并登录功能； </w:t>
            </w:r>
          </w:p>
          <w:p>
            <w:pPr>
              <w:numPr>
                <w:ilvl w:val="0"/>
                <w:numId w:val="6"/>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支持设置口令策略功能；</w:t>
            </w:r>
          </w:p>
          <w:p>
            <w:pPr>
              <w:numPr>
                <w:ilvl w:val="0"/>
                <w:numId w:val="6"/>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支持访问权限设置功能，并通过日志记录访问事件；</w:t>
            </w:r>
          </w:p>
          <w:p>
            <w:pPr>
              <w:numPr>
                <w:ilvl w:val="0"/>
                <w:numId w:val="6"/>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支持对出厂默认的用户名及口令进行安全保护功能，并提供默认口令修改提示；</w:t>
            </w:r>
          </w:p>
          <w:p>
            <w:pPr>
              <w:numPr>
                <w:ilvl w:val="0"/>
                <w:numId w:val="6"/>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支持读取设备主板的工作环境温度功能； </w:t>
            </w:r>
          </w:p>
          <w:p>
            <w:pPr>
              <w:numPr>
                <w:ilvl w:val="0"/>
                <w:numId w:val="6"/>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支持读取服务器 CPU 等核心器件的温度功能；</w:t>
            </w:r>
          </w:p>
          <w:p>
            <w:pPr>
              <w:numPr>
                <w:ilvl w:val="0"/>
                <w:numId w:val="6"/>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支持通过外部管理工具进行 BMC参数设置的功能，并可基于网络通过外部管理工具对 BMC 进行管理；</w:t>
            </w:r>
          </w:p>
          <w:p>
            <w:pPr>
              <w:numPr>
                <w:ilvl w:val="0"/>
                <w:numId w:val="6"/>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应支持固件版本查询、固件升级；</w:t>
            </w:r>
          </w:p>
          <w:p>
            <w:pPr>
              <w:numPr>
                <w:ilvl w:val="0"/>
                <w:numId w:val="6"/>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支持基于网络实现开关机和复位控制的功能； </w:t>
            </w:r>
          </w:p>
          <w:p>
            <w:pPr>
              <w:numPr>
                <w:ilvl w:val="0"/>
                <w:numId w:val="6"/>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BMC 启动时间应不超过 180s，实现功能包括网络、IPMI、散热、传感器服务可用；</w:t>
            </w:r>
          </w:p>
          <w:p>
            <w:pPr>
              <w:numPr>
                <w:ilvl w:val="0"/>
                <w:numId w:val="6"/>
              </w:numPr>
              <w:pBdr>
                <w:bottom w:val="none" w:color="auto" w:sz="0" w:space="0"/>
              </w:pBd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支持 BMC 固件设置的恢复出厂功能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39</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BIOS固件基础功能</w:t>
            </w:r>
          </w:p>
        </w:tc>
        <w:tc>
          <w:tcPr>
            <w:tcW w:w="4720" w:type="dxa"/>
            <w:shd w:val="clear" w:color="auto" w:fill="auto"/>
            <w:vAlign w:val="top"/>
          </w:tcPr>
          <w:p>
            <w:pPr>
              <w:numPr>
                <w:ilvl w:val="0"/>
                <w:numId w:val="7"/>
              </w:num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支持查看固件版本、内存信息、主板信息、处理器信息和系统时间 信息功能； </w:t>
            </w:r>
          </w:p>
          <w:p>
            <w:pPr>
              <w:numPr>
                <w:ilvl w:val="0"/>
                <w:numId w:val="7"/>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支持上电初始化界面显示 CPU 信息、内存信息、固件版本和部分快捷键信息功能； </w:t>
            </w:r>
          </w:p>
          <w:p>
            <w:pPr>
              <w:numPr>
                <w:ilvl w:val="0"/>
                <w:numId w:val="7"/>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支持设置界面中英文显示切换功能；</w:t>
            </w:r>
          </w:p>
          <w:p>
            <w:pPr>
              <w:numPr>
                <w:ilvl w:val="0"/>
                <w:numId w:val="7"/>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支持查看 PCIe 设备信息，SATA 设备信息功能； </w:t>
            </w:r>
          </w:p>
          <w:p>
            <w:pPr>
              <w:numPr>
                <w:ilvl w:val="0"/>
                <w:numId w:val="7"/>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支持操作系统安装和引导功能，应并向操作系统提供计算机主板信息和服务接口； </w:t>
            </w:r>
          </w:p>
          <w:p>
            <w:pPr>
              <w:numPr>
                <w:ilvl w:val="0"/>
                <w:numId w:val="7"/>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支持设置启动顺序，并按照设置的启动顺序启动功能； </w:t>
            </w:r>
          </w:p>
          <w:p>
            <w:pPr>
              <w:numPr>
                <w:ilvl w:val="0"/>
                <w:numId w:val="7"/>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支持安全启动功能； </w:t>
            </w:r>
          </w:p>
          <w:p>
            <w:pPr>
              <w:numPr>
                <w:ilvl w:val="0"/>
                <w:numId w:val="7"/>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支持设置口令、修改口令、验证口令功能； </w:t>
            </w:r>
          </w:p>
          <w:p>
            <w:pPr>
              <w:numPr>
                <w:ilvl w:val="0"/>
                <w:numId w:val="7"/>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支持板载显示控制或独立显卡的显示控制功能； </w:t>
            </w:r>
          </w:p>
          <w:p>
            <w:pPr>
              <w:numPr>
                <w:ilvl w:val="0"/>
                <w:numId w:val="7"/>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支持 RAID 识别和启动功能；</w:t>
            </w:r>
          </w:p>
          <w:p>
            <w:pPr>
              <w:numPr>
                <w:ilvl w:val="0"/>
                <w:numId w:val="7"/>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支持串口重定向功能； </w:t>
            </w:r>
          </w:p>
          <w:p>
            <w:pPr>
              <w:numPr>
                <w:ilvl w:val="0"/>
                <w:numId w:val="7"/>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支持固件更新功能； </w:t>
            </w:r>
          </w:p>
          <w:p>
            <w:pPr>
              <w:numPr>
                <w:ilvl w:val="0"/>
                <w:numId w:val="7"/>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支持 BIOS 固件设置的恢复出厂功能；</w:t>
            </w:r>
          </w:p>
          <w:p>
            <w:pPr>
              <w:numPr>
                <w:ilvl w:val="0"/>
                <w:numId w:val="7"/>
              </w:numPr>
              <w:pBdr>
                <w:bottom w:val="none" w:color="auto" w:sz="0" w:space="0"/>
              </w:pBd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支持网络引导启用和关闭功能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40</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远程控制</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支持远程关机和重新启动功能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41</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中文 信息处理功能</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中文信息 处理</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符合GB18030 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42</w:t>
            </w:r>
          </w:p>
        </w:tc>
        <w:tc>
          <w:tcPr>
            <w:tcW w:w="684" w:type="dxa"/>
            <w:vMerge w:val="restart"/>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安全要求</w:t>
            </w:r>
          </w:p>
        </w:tc>
        <w:tc>
          <w:tcPr>
            <w:tcW w:w="785" w:type="dxa"/>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关键 部件安全要求</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关键部件安全要求</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关键部件应当</w:t>
            </w:r>
            <w:r>
              <w:rPr>
                <w:rFonts w:ascii="宋体" w:hAnsi="宋体" w:eastAsia="宋体" w:cs="宋体"/>
                <w:b w:val="0"/>
                <w:i w:val="0"/>
                <w:strike w:val="0"/>
                <w:spacing w:val="0"/>
                <w:u w:val="none"/>
              </w:rPr>
              <w:t>在中国信息安全测评中心发布的安全可靠测评结果公告（2023年第1号</w:t>
            </w:r>
            <w:r>
              <w:rPr>
                <w:rFonts w:hint="eastAsia" w:ascii="宋体" w:hAnsi="宋体" w:eastAsia="宋体" w:cs="宋体"/>
                <w:b w:val="0"/>
                <w:i w:val="0"/>
                <w:strike w:val="0"/>
                <w:spacing w:val="0"/>
                <w:u w:val="none"/>
                <w:lang w:val="en-US" w:eastAsia="zh-CN"/>
              </w:rPr>
              <w:t>~2024年第1号</w:t>
            </w:r>
            <w:r>
              <w:rPr>
                <w:rFonts w:ascii="宋体" w:hAnsi="宋体" w:eastAsia="宋体" w:cs="宋体"/>
                <w:b w:val="0"/>
                <w:i w:val="0"/>
                <w:strike w:val="0"/>
                <w:spacing w:val="0"/>
                <w:u w:val="none"/>
              </w:rPr>
              <w:t>）所公布名录中</w:t>
            </w:r>
          </w:p>
          <w:p>
            <w:pPr>
              <w:tabs>
                <w:tab w:val="left" w:pos="34"/>
                <w:tab w:val="left" w:pos="459"/>
              </w:tabs>
              <w:rPr>
                <w:rFonts w:hint="eastAsia" w:ascii="宋体" w:hAnsi="宋体" w:eastAsia="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43</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restart"/>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固件 安全要求</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故障检测</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支持故障检测功能，可以检测到具体的 FRU（内存、硬盘等）的故障并发出告警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44</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hint="eastAsia"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异常下电 关键数据 保护</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支持异常下电关键数据保护，支持 数据备份恢复机制，防止系统异常 掉电导致的数据文件丢失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45</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restart"/>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系统 安全要求</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弱口令字 典检查</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支持弱口令字典检查功能，出现在弱口令字典中的字符串不能被设置为用户口令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46</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rPr>
              <w:t>白名单访 问控制</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支持基于时间、IP 或 MAC 白名单访问控制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47</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二次鉴别</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支持二次鉴别功能。对于用户配置、权限配置、公钥导入等重要的管理操作，已登录用户应通过二次鉴别后，才能执行操作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48</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密码证书 安全加密 存储</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支持对带外管理系统中的用户口令和证书等敏感信息进行加密存储，禁止使用私有的和业界已知不安全的密码算法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4</w:t>
            </w:r>
            <w:r>
              <w:rPr>
                <w:rFonts w:hint="eastAsia" w:ascii="宋体" w:hAnsi="宋体" w:eastAsia="宋体" w:cs="宋体"/>
                <w:szCs w:val="21"/>
                <w:lang w:val="en-US" w:eastAsia="zh-CN"/>
              </w:rPr>
              <w:t>9</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敏感信息 安全加密 传输</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支持使用安全的传输加密协议（如 SSH 或 HTTPS 等）传输用户的敏感信息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50</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物理安全</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rPr>
              <w:t>物理安全</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安全要求应符合 GB 4943.1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51</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限用 物质的限量要求</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限用物质 的限量要 求</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限用物质的限量应符合 GB/T 26572 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52</w:t>
            </w:r>
          </w:p>
        </w:tc>
        <w:tc>
          <w:tcPr>
            <w:tcW w:w="684" w:type="dxa"/>
            <w:vMerge w:val="restart"/>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性能要求</w:t>
            </w:r>
          </w:p>
        </w:tc>
        <w:tc>
          <w:tcPr>
            <w:tcW w:w="785" w:type="dxa"/>
            <w:vMerge w:val="restart"/>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CPU 性能</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CPU主频</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≥2.2GHz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53</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单CPU核 数</w:t>
            </w:r>
          </w:p>
        </w:tc>
        <w:tc>
          <w:tcPr>
            <w:tcW w:w="4720" w:type="dxa"/>
            <w:shd w:val="clear" w:color="auto" w:fill="auto"/>
            <w:vAlign w:val="top"/>
          </w:tcPr>
          <w:p>
            <w:pPr>
              <w:tabs>
                <w:tab w:val="left" w:pos="34"/>
                <w:tab w:val="left" w:pos="459"/>
              </w:tabs>
              <w:rPr>
                <w:rFonts w:hint="default" w:ascii="宋体" w:hAnsi="宋体" w:eastAsia="宋体" w:cs="宋体"/>
                <w:szCs w:val="21"/>
                <w:lang w:val="en-US" w:eastAsia="zh-CN"/>
              </w:rPr>
            </w:pPr>
            <w:r>
              <w:rPr>
                <w:rFonts w:hint="eastAsia" w:ascii="宋体" w:hAnsi="宋体" w:eastAsia="宋体" w:cs="宋体"/>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54</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单CPU末级缓存容量</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≥64MB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55</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restart"/>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内存 性能</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单内存模块容量</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≥16GB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56</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内存速率</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≥3200MT/s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5</w:t>
            </w:r>
            <w:r>
              <w:rPr>
                <w:rFonts w:hint="eastAsia" w:ascii="宋体" w:hAnsi="宋体" w:eastAsia="宋体" w:cs="宋体"/>
                <w:szCs w:val="21"/>
                <w:lang w:val="en-US" w:eastAsia="zh-CN"/>
              </w:rPr>
              <w:t>7</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shd w:val="clear" w:color="auto" w:fill="auto"/>
            <w:vAlign w:val="top"/>
          </w:tcPr>
          <w:p>
            <w:pPr>
              <w:tabs>
                <w:tab w:val="left" w:pos="34"/>
                <w:tab w:val="left" w:pos="459"/>
              </w:tabs>
              <w:jc w:val="center"/>
              <w:rPr>
                <w:rFonts w:hint="eastAsia" w:ascii="宋体" w:hAnsi="宋体" w:eastAsia="宋体" w:cs="宋体"/>
                <w:szCs w:val="21"/>
              </w:rPr>
            </w:pPr>
            <w:r>
              <w:rPr>
                <w:rFonts w:hint="eastAsia" w:ascii="宋体" w:hAnsi="宋体" w:eastAsia="宋体" w:cs="宋体"/>
                <w:szCs w:val="21"/>
              </w:rPr>
              <w:t>RAID 卡性能</w:t>
            </w:r>
          </w:p>
        </w:tc>
        <w:tc>
          <w:tcPr>
            <w:tcW w:w="1257" w:type="dxa"/>
            <w:shd w:val="clear" w:color="auto" w:fill="auto"/>
            <w:vAlign w:val="top"/>
          </w:tcPr>
          <w:p>
            <w:pPr>
              <w:tabs>
                <w:tab w:val="left" w:pos="34"/>
                <w:tab w:val="left" w:pos="459"/>
              </w:tabs>
              <w:rPr>
                <w:rFonts w:hint="eastAsia" w:ascii="宋体" w:hAnsi="宋体" w:eastAsia="宋体" w:cs="宋体"/>
                <w:szCs w:val="21"/>
              </w:rPr>
            </w:pPr>
            <w:r>
              <w:rPr>
                <w:rFonts w:hint="eastAsia" w:ascii="宋体" w:hAnsi="宋体" w:eastAsia="宋体" w:cs="宋体"/>
                <w:szCs w:val="21"/>
              </w:rPr>
              <w:t>RAID 卡缓 存容量大 小</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配备 RAID 卡且 RAID 卡缓存容不少于 1GB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5</w:t>
            </w:r>
            <w:r>
              <w:rPr>
                <w:rFonts w:hint="eastAsia" w:ascii="宋体" w:hAnsi="宋体" w:eastAsia="宋体" w:cs="宋体"/>
                <w:szCs w:val="21"/>
                <w:lang w:val="en-US" w:eastAsia="zh-CN"/>
              </w:rPr>
              <w:t>8</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电源 能耗</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rPr>
              <w:t>电源能耗</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符合 GB/T 9813.3 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5</w:t>
            </w:r>
            <w:r>
              <w:rPr>
                <w:rFonts w:hint="eastAsia" w:ascii="宋体" w:hAnsi="宋体" w:eastAsia="宋体" w:cs="宋体"/>
                <w:szCs w:val="21"/>
                <w:lang w:val="en-US" w:eastAsia="zh-CN"/>
              </w:rPr>
              <w:t>9</w:t>
            </w:r>
          </w:p>
        </w:tc>
        <w:tc>
          <w:tcPr>
            <w:tcW w:w="684" w:type="dxa"/>
            <w:vMerge w:val="restart"/>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兼容要求</w:t>
            </w:r>
          </w:p>
        </w:tc>
        <w:tc>
          <w:tcPr>
            <w:tcW w:w="785" w:type="dxa"/>
            <w:vMerge w:val="restart"/>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部件 兼容性要求</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内存兼容 性</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适配 3 种及以上厂商的内存产品，且均不低于产品支持的内存规格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60</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固态存储 兼容性</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适配 3 种或以上厂商的固态存储产品，且均不低于产品支持的固态存储设备规格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61</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RAID 卡兼容性</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RAID 卡应适配两种或以上厂商产品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62</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default" w:ascii="宋体" w:hAnsi="宋体" w:eastAsia="宋体" w:cs="宋体"/>
                <w:szCs w:val="21"/>
                <w:lang w:val="en-US" w:eastAsia="zh-CN"/>
              </w:rPr>
            </w:pPr>
            <w:r>
              <w:rPr>
                <w:rFonts w:hint="eastAsia" w:ascii="宋体" w:hAnsi="宋体" w:eastAsia="宋体" w:cs="宋体"/>
                <w:szCs w:val="21"/>
                <w:lang w:val="en-US" w:eastAsia="zh-CN"/>
              </w:rPr>
              <w:t>网卡兼容性</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网卡应适配两种或以上厂商产品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63</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功能卡兼 容性</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内置或适配符合 PCIe 的功能卡，如：网络功能卡、存储功能卡及图形显示功能卡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64</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外设 兼容性</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外设兼容 性</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兼容多种主流生产商的外部设备， 包括显示器、键盘、鼠标、闪存盘、 移动硬盘、USB光驱及 KVM 等，要求使用不同厂商的外部设备时，系统均能正常识别和安装驱动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65</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restart"/>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软件 兼容性</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数据库兼 容</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兼容 3 个及以上厂商的数据库产品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6</w:t>
            </w:r>
            <w:r>
              <w:rPr>
                <w:rFonts w:hint="eastAsia" w:ascii="宋体" w:hAnsi="宋体" w:eastAsia="宋体" w:cs="宋体"/>
                <w:szCs w:val="21"/>
                <w:lang w:val="en-US" w:eastAsia="zh-CN"/>
              </w:rPr>
              <w:t>6</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中间件兼 容</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兼容 3 个及以上厂商的中间件产品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6</w:t>
            </w:r>
            <w:r>
              <w:rPr>
                <w:rFonts w:hint="eastAsia" w:ascii="宋体" w:hAnsi="宋体" w:eastAsia="宋体" w:cs="宋体"/>
                <w:szCs w:val="21"/>
                <w:lang w:val="en-US" w:eastAsia="zh-CN"/>
              </w:rPr>
              <w:t>7</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平台软件 兼容</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兼容 3 个及以上厂商的大数据平台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6</w:t>
            </w:r>
            <w:r>
              <w:rPr>
                <w:rFonts w:hint="eastAsia" w:ascii="宋体" w:hAnsi="宋体" w:eastAsia="宋体" w:cs="宋体"/>
                <w:szCs w:val="21"/>
                <w:lang w:val="en-US" w:eastAsia="zh-CN"/>
              </w:rPr>
              <w:t>8</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shd w:val="clear" w:color="auto" w:fill="auto"/>
                <w:lang w:val="en-US" w:eastAsia="zh-CN"/>
              </w:rPr>
            </w:pPr>
            <w:r>
              <w:rPr>
                <w:rFonts w:hint="eastAsia" w:ascii="宋体" w:hAnsi="宋体" w:eastAsia="宋体" w:cs="宋体"/>
                <w:szCs w:val="21"/>
                <w:shd w:val="clear" w:color="auto" w:fill="auto"/>
                <w:lang w:val="en-US" w:eastAsia="zh-CN"/>
              </w:rPr>
              <w:t>虚拟化软 件兼容</w:t>
            </w:r>
          </w:p>
        </w:tc>
        <w:tc>
          <w:tcPr>
            <w:tcW w:w="4720" w:type="dxa"/>
            <w:shd w:val="clear" w:color="auto" w:fill="auto"/>
            <w:vAlign w:val="top"/>
          </w:tcPr>
          <w:p>
            <w:pPr>
              <w:tabs>
                <w:tab w:val="left" w:pos="34"/>
                <w:tab w:val="left" w:pos="459"/>
              </w:tabs>
              <w:rPr>
                <w:rFonts w:hint="eastAsia" w:ascii="宋体" w:hAnsi="宋体" w:eastAsia="宋体" w:cs="宋体"/>
                <w:szCs w:val="21"/>
                <w:shd w:val="clear" w:color="auto" w:fill="auto"/>
                <w:lang w:val="en-US" w:eastAsia="zh-CN"/>
              </w:rPr>
            </w:pPr>
            <w:r>
              <w:rPr>
                <w:rFonts w:hint="eastAsia" w:ascii="宋体" w:hAnsi="宋体" w:eastAsia="宋体" w:cs="宋体"/>
                <w:szCs w:val="21"/>
                <w:shd w:val="clear" w:color="auto" w:fill="auto"/>
                <w:lang w:val="en-US" w:eastAsia="zh-CN"/>
              </w:rPr>
              <w:t>兼容 2 款及以上虚拟化软件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6</w:t>
            </w:r>
            <w:r>
              <w:rPr>
                <w:rFonts w:hint="eastAsia" w:ascii="宋体" w:hAnsi="宋体" w:eastAsia="宋体" w:cs="宋体"/>
                <w:szCs w:val="21"/>
                <w:lang w:val="en-US" w:eastAsia="zh-CN"/>
              </w:rPr>
              <w:t>9</w:t>
            </w:r>
          </w:p>
        </w:tc>
        <w:tc>
          <w:tcPr>
            <w:tcW w:w="684" w:type="dxa"/>
            <w:vMerge w:val="restart"/>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可靠性要 求</w:t>
            </w:r>
          </w:p>
        </w:tc>
        <w:tc>
          <w:tcPr>
            <w:tcW w:w="785" w:type="dxa"/>
            <w:shd w:val="clear" w:color="auto" w:fill="auto"/>
            <w:vAlign w:val="top"/>
          </w:tcPr>
          <w:p>
            <w:pPr>
              <w:pBdr>
                <w:bottom w:val="none" w:color="auto" w:sz="0" w:space="0"/>
              </w:pBdr>
              <w:snapToGrid/>
              <w:spacing w:line="240" w:lineRule="auto"/>
              <w:rPr>
                <w:rFonts w:ascii="宋体" w:hAnsi="宋体" w:eastAsia="宋体" w:cs="宋体"/>
              </w:rPr>
            </w:pPr>
            <w:r>
              <w:rPr>
                <w:rFonts w:ascii="宋体" w:hAnsi="宋体" w:eastAsia="宋体" w:cs="宋体"/>
                <w:b w:val="0"/>
                <w:i w:val="0"/>
                <w:strike w:val="0"/>
                <w:spacing w:val="0"/>
                <w:u w:val="none"/>
              </w:rPr>
              <w:t>存储可靠性要求</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ascii="宋体" w:hAnsi="宋体" w:eastAsia="宋体" w:cs="宋体"/>
                <w:b w:val="0"/>
                <w:i w:val="0"/>
                <w:strike w:val="0"/>
                <w:spacing w:val="0"/>
                <w:u w:val="none"/>
              </w:rPr>
              <w:t>SATA SSD可靠性</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ascii="宋体" w:hAnsi="宋体" w:eastAsia="宋体" w:cs="宋体"/>
                <w:b w:val="0"/>
                <w:i w:val="0"/>
                <w:strike w:val="0"/>
                <w:spacing w:val="0"/>
                <w:u w:val="none"/>
              </w:rPr>
              <w:t>SSD 的 m1 值（MTBF 的不可接受值）不低于200000h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70</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restart"/>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整机 可靠性要求</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整机可靠 性</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m1 值（MTBF 的不可接受值）不得低于 30000h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71</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风扇可靠 性</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风扇寿命应不低于 40000h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72</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部件可靠性</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支持硬盘、电源、风扇热插拔(内置风扇除外)</w:t>
            </w:r>
          </w:p>
        </w:tc>
      </w:tr>
    </w:tbl>
    <w:p>
      <w:pPr>
        <w:bidi w:val="0"/>
        <w:rPr>
          <w:rFonts w:ascii="宋体" w:hAnsi="宋体" w:eastAsia="宋体" w:cs="宋体"/>
        </w:rPr>
      </w:pPr>
    </w:p>
    <w:p>
      <w:pPr>
        <w:bidi w:val="0"/>
        <w:rPr>
          <w:rFonts w:hint="eastAsia" w:ascii="宋体" w:hAnsi="宋体" w:eastAsia="宋体" w:cs="宋体"/>
          <w:lang w:eastAsia="zh-CN"/>
        </w:rPr>
      </w:pPr>
    </w:p>
    <w:p>
      <w:pPr>
        <w:pStyle w:val="4"/>
        <w:numPr>
          <w:ilvl w:val="0"/>
          <w:numId w:val="3"/>
        </w:numPr>
        <w:pBdr>
          <w:bottom w:val="none" w:color="auto" w:sz="0" w:space="0"/>
        </w:pBdr>
        <w:bidi w:val="0"/>
        <w:rPr>
          <w:rFonts w:ascii="宋体" w:hAnsi="宋体" w:eastAsia="宋体" w:cs="宋体"/>
        </w:rPr>
      </w:pPr>
      <w:r>
        <w:rPr>
          <w:rFonts w:ascii="宋体" w:hAnsi="宋体" w:eastAsia="宋体" w:cs="宋体"/>
        </w:rPr>
        <w:t>服务要求</w:t>
      </w:r>
    </w:p>
    <w:tbl>
      <w:tblPr>
        <w:tblStyle w:val="13"/>
        <w:tblpPr w:leftFromText="180" w:rightFromText="180" w:vertAnchor="text" w:horzAnchor="page" w:tblpX="2064" w:tblpY="1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84"/>
        <w:gridCol w:w="785"/>
        <w:gridCol w:w="1257"/>
        <w:gridCol w:w="4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95B3D7"/>
            <w:vAlign w:val="top"/>
          </w:tcPr>
          <w:p>
            <w:pPr>
              <w:rPr>
                <w:rFonts w:hint="eastAsia" w:ascii="宋体" w:hAnsi="宋体" w:eastAsia="宋体" w:cs="宋体"/>
                <w:szCs w:val="21"/>
                <w:lang w:val="en-US" w:eastAsia="zh-CN"/>
              </w:rPr>
            </w:pPr>
            <w:r>
              <w:rPr>
                <w:rFonts w:hint="eastAsia" w:ascii="宋体" w:hAnsi="宋体" w:eastAsia="宋体" w:cs="宋体"/>
                <w:szCs w:val="21"/>
                <w:lang w:val="en-US" w:eastAsia="zh-CN"/>
              </w:rPr>
              <w:t>序号</w:t>
            </w:r>
          </w:p>
        </w:tc>
        <w:tc>
          <w:tcPr>
            <w:tcW w:w="684" w:type="dxa"/>
            <w:shd w:val="clear" w:color="auto" w:fill="95B3D7"/>
            <w:vAlign w:val="top"/>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指标分类</w:t>
            </w:r>
          </w:p>
        </w:tc>
        <w:tc>
          <w:tcPr>
            <w:tcW w:w="785" w:type="dxa"/>
            <w:shd w:val="clear" w:color="auto" w:fill="95B3D7"/>
            <w:vAlign w:val="top"/>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一级指标</w:t>
            </w:r>
          </w:p>
        </w:tc>
        <w:tc>
          <w:tcPr>
            <w:tcW w:w="1257" w:type="dxa"/>
            <w:shd w:val="clear" w:color="auto" w:fill="95B3D7"/>
            <w:vAlign w:val="top"/>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二级指标</w:t>
            </w:r>
          </w:p>
        </w:tc>
        <w:tc>
          <w:tcPr>
            <w:tcW w:w="4720" w:type="dxa"/>
            <w:shd w:val="clear" w:color="auto" w:fill="95B3D7"/>
            <w:vAlign w:val="top"/>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1</w:t>
            </w:r>
          </w:p>
        </w:tc>
        <w:tc>
          <w:tcPr>
            <w:tcW w:w="684" w:type="dxa"/>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包装及运 输要求</w:t>
            </w:r>
          </w:p>
        </w:tc>
        <w:tc>
          <w:tcPr>
            <w:tcW w:w="785" w:type="dxa"/>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包装 及运输要求</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标志、包 装、运输和贮存</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符合 GB/T 9813.3标准的相关规定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2</w:t>
            </w:r>
          </w:p>
        </w:tc>
        <w:tc>
          <w:tcPr>
            <w:tcW w:w="684" w:type="dxa"/>
            <w:vMerge w:val="restart"/>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部署实施服务要求</w:t>
            </w:r>
          </w:p>
        </w:tc>
        <w:tc>
          <w:tcPr>
            <w:tcW w:w="785" w:type="dxa"/>
            <w:shd w:val="clear" w:color="auto" w:fill="auto"/>
            <w:vAlign w:val="top"/>
          </w:tcPr>
          <w:p>
            <w:pPr>
              <w:tabs>
                <w:tab w:val="left" w:pos="34"/>
                <w:tab w:val="left" w:pos="459"/>
              </w:tabs>
              <w:jc w:val="center"/>
              <w:rPr>
                <w:rFonts w:ascii="宋体" w:hAnsi="宋体" w:eastAsia="宋体" w:cs="宋体"/>
                <w:szCs w:val="21"/>
              </w:rPr>
            </w:pPr>
            <w:r>
              <w:rPr>
                <w:rFonts w:ascii="宋体" w:hAnsi="宋体" w:eastAsia="宋体" w:cs="宋体"/>
                <w:szCs w:val="21"/>
              </w:rPr>
              <w:t>安装要求</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安装要求</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ascii="宋体" w:hAnsi="宋体" w:eastAsia="宋体" w:cs="宋体"/>
                <w:b w:val="0"/>
                <w:i w:val="0"/>
                <w:strike w:val="0"/>
                <w:spacing w:val="0"/>
                <w:u w:val="none"/>
              </w:rPr>
              <w:t>提供设备上架安装及系统部署实施服务，提供设备上架施工过程中的材料【包括但不仅限于机柜间主干线缆、光纤跳线（万兆OM3）、配线架、尾纤、耦合器、光纤线缆、熔纤费等（上述配件要求品牌为泛达或同档次）】；按照甲方标准对强电、弱电线缆进行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3</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shd w:val="clear" w:color="auto" w:fill="auto"/>
            <w:vAlign w:val="top"/>
          </w:tcPr>
          <w:p>
            <w:pPr>
              <w:tabs>
                <w:tab w:val="left" w:pos="34"/>
                <w:tab w:val="left" w:pos="459"/>
              </w:tabs>
              <w:jc w:val="center"/>
              <w:rPr>
                <w:rFonts w:ascii="宋体" w:hAnsi="宋体" w:eastAsia="宋体" w:cs="宋体"/>
                <w:szCs w:val="21"/>
              </w:rPr>
            </w:pPr>
            <w:r>
              <w:rPr>
                <w:rFonts w:ascii="宋体" w:hAnsi="宋体" w:eastAsia="宋体" w:cs="宋体"/>
                <w:szCs w:val="21"/>
              </w:rPr>
              <w:t>试运行要求</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ascii="宋体" w:hAnsi="宋体" w:eastAsia="宋体" w:cs="宋体"/>
                <w:b w:val="0"/>
                <w:i w:val="0"/>
                <w:strike w:val="0"/>
                <w:spacing w:val="0"/>
                <w:u w:val="none"/>
              </w:rPr>
              <w:t>设备试运行期</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ascii="宋体" w:hAnsi="宋体" w:eastAsia="宋体" w:cs="宋体"/>
                <w:b w:val="0"/>
                <w:i w:val="0"/>
                <w:strike w:val="0"/>
                <w:spacing w:val="0"/>
                <w:u w:val="none"/>
              </w:rPr>
              <w:t>设备加电运行3个月，无硬件故障与固件bug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4</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shd w:val="clear" w:color="auto" w:fill="auto"/>
            <w:vAlign w:val="top"/>
          </w:tcPr>
          <w:p>
            <w:pPr>
              <w:tabs>
                <w:tab w:val="left" w:pos="34"/>
                <w:tab w:val="left" w:pos="459"/>
              </w:tabs>
              <w:jc w:val="center"/>
              <w:rPr>
                <w:rFonts w:ascii="宋体" w:hAnsi="宋体" w:eastAsia="宋体" w:cs="宋体"/>
                <w:szCs w:val="21"/>
              </w:rPr>
            </w:pPr>
            <w:r>
              <w:rPr>
                <w:rFonts w:ascii="宋体" w:hAnsi="宋体" w:eastAsia="宋体" w:cs="宋体"/>
                <w:szCs w:val="21"/>
              </w:rPr>
              <w:t>授权及承诺函</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授权及承诺函要求</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ascii="宋体" w:hAnsi="宋体" w:eastAsia="宋体" w:cs="宋体"/>
                <w:b w:val="0"/>
                <w:i w:val="0"/>
                <w:strike w:val="0"/>
                <w:spacing w:val="0"/>
                <w:u w:val="none"/>
              </w:rPr>
              <w:t>出具设备生产制造厂商针对本项目的授权和售后服务承诺函。设备生产制造厂商需承诺在质保维保期满后提供不低于质保维保期内的原厂质保维保及技术支持的有偿服务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5</w:t>
            </w:r>
          </w:p>
        </w:tc>
        <w:tc>
          <w:tcPr>
            <w:tcW w:w="684" w:type="dxa"/>
            <w:vMerge w:val="restart"/>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服务要求</w:t>
            </w:r>
          </w:p>
        </w:tc>
        <w:tc>
          <w:tcPr>
            <w:tcW w:w="785" w:type="dxa"/>
            <w:vMerge w:val="restart"/>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服务 响应</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服务响应</w:t>
            </w:r>
          </w:p>
        </w:tc>
        <w:tc>
          <w:tcPr>
            <w:tcW w:w="4720" w:type="dxa"/>
            <w:shd w:val="clear" w:color="auto" w:fill="auto"/>
            <w:vAlign w:val="top"/>
          </w:tcPr>
          <w:p>
            <w:pPr>
              <w:numPr>
                <w:ilvl w:val="0"/>
                <w:numId w:val="8"/>
              </w:num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提供电话、电子邮件、远程连接等多种形式服务； </w:t>
            </w:r>
          </w:p>
          <w:p>
            <w:pPr>
              <w:numPr>
                <w:ilvl w:val="0"/>
                <w:numId w:val="8"/>
              </w:numPr>
              <w:tabs>
                <w:tab w:val="left" w:pos="34"/>
                <w:tab w:val="left" w:pos="459"/>
              </w:tabs>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提供</w:t>
            </w:r>
            <w:r>
              <w:rPr>
                <w:rFonts w:ascii="宋体" w:hAnsi="宋体" w:eastAsia="宋体" w:cs="宋体"/>
                <w:b w:val="0"/>
                <w:i w:val="0"/>
                <w:strike w:val="0"/>
                <w:spacing w:val="0"/>
                <w:u w:val="none"/>
              </w:rPr>
              <w:t>出现故障后30分钟响应，4小时内人员到达现场，24小时配件到现场。</w:t>
            </w:r>
            <w:r>
              <w:rPr>
                <w:rFonts w:hint="eastAsia" w:ascii="宋体" w:hAnsi="宋体" w:eastAsia="宋体" w:cs="宋体"/>
                <w:szCs w:val="21"/>
                <w:lang w:val="en-US" w:eastAsia="zh-CN"/>
              </w:rPr>
              <w:t xml:space="preserve">对于未能解决的问题和故障应提供可行的升级方案，并提供周转设备； </w:t>
            </w:r>
          </w:p>
          <w:p>
            <w:pPr>
              <w:numPr>
                <w:ilvl w:val="0"/>
                <w:numId w:val="8"/>
              </w:numPr>
              <w:tabs>
                <w:tab w:val="left" w:pos="34"/>
                <w:tab w:val="left" w:pos="459"/>
              </w:tabs>
              <w:ind w:left="0" w:leftChars="0" w:firstLine="0" w:firstLineChars="0"/>
              <w:rPr>
                <w:rFonts w:hint="eastAsia" w:ascii="宋体" w:hAnsi="宋体" w:eastAsia="宋体" w:cs="宋体"/>
                <w:szCs w:val="21"/>
                <w:shd w:val="clear" w:color="auto" w:fill="auto"/>
                <w:lang w:val="en-US" w:eastAsia="zh-CN"/>
              </w:rPr>
            </w:pPr>
            <w:r>
              <w:rPr>
                <w:rFonts w:hint="eastAsia" w:ascii="宋体" w:hAnsi="宋体" w:eastAsia="宋体" w:cs="宋体"/>
                <w:szCs w:val="21"/>
                <w:shd w:val="clear" w:color="auto" w:fill="auto"/>
                <w:lang w:val="en-US" w:eastAsia="zh-CN"/>
              </w:rPr>
              <w:t>建立全国技术服务体系和服务团体，符合专业服务体系标准要求，提供原厂中文服务；</w:t>
            </w:r>
          </w:p>
          <w:p>
            <w:pPr>
              <w:numPr>
                <w:ilvl w:val="0"/>
                <w:numId w:val="8"/>
              </w:numPr>
              <w:pBdr>
                <w:bottom w:val="none" w:color="auto" w:sz="0" w:space="0"/>
              </w:pBdr>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服务周期内提供产品的维修、换件和升级服务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6</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培训服务</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供应商提供培训材料、产品手册、培训视频等培训相关内容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7</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服务 周期</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服务周期</w:t>
            </w:r>
          </w:p>
        </w:tc>
        <w:tc>
          <w:tcPr>
            <w:tcW w:w="4720" w:type="dxa"/>
            <w:shd w:val="clear" w:color="auto" w:fill="auto"/>
            <w:vAlign w:val="top"/>
          </w:tcPr>
          <w:p>
            <w:pPr>
              <w:numPr>
                <w:ilvl w:val="0"/>
                <w:numId w:val="9"/>
              </w:num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产品免费服务周期（含换件和维修）应为 5 年； </w:t>
            </w:r>
          </w:p>
          <w:p>
            <w:pPr>
              <w:numPr>
                <w:ilvl w:val="0"/>
                <w:numId w:val="9"/>
              </w:numPr>
              <w:tabs>
                <w:tab w:val="left" w:pos="34"/>
                <w:tab w:val="left" w:pos="459"/>
              </w:tabs>
              <w:ind w:left="0" w:leftChars="0" w:firstLine="0" w:firstLineChars="0"/>
              <w:rPr>
                <w:rFonts w:hint="eastAsia" w:ascii="宋体" w:hAnsi="宋体" w:eastAsia="宋体" w:cs="宋体"/>
                <w:szCs w:val="21"/>
                <w:shd w:val="clear" w:color="auto" w:fill="auto"/>
                <w:lang w:val="en-US" w:eastAsia="zh-CN"/>
              </w:rPr>
            </w:pPr>
            <w:r>
              <w:rPr>
                <w:rFonts w:hint="eastAsia" w:ascii="宋体" w:hAnsi="宋体" w:eastAsia="宋体" w:cs="宋体"/>
                <w:szCs w:val="21"/>
                <w:shd w:val="clear" w:color="auto" w:fill="auto"/>
                <w:lang w:val="en-US" w:eastAsia="zh-CN"/>
              </w:rPr>
              <w:t xml:space="preserve">产品停止服务时间应提前 1 年告知客户； </w:t>
            </w:r>
          </w:p>
          <w:p>
            <w:pPr>
              <w:numPr>
                <w:ilvl w:val="0"/>
                <w:numId w:val="9"/>
              </w:numPr>
              <w:pBdr>
                <w:bottom w:val="none" w:color="auto" w:sz="0" w:space="0"/>
              </w:pBdr>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产品发布日期需在</w:t>
            </w:r>
            <w:r>
              <w:rPr>
                <w:rFonts w:ascii="宋体" w:hAnsi="宋体" w:eastAsia="宋体" w:cs="宋体"/>
                <w:b w:val="0"/>
                <w:i w:val="0"/>
                <w:strike w:val="0"/>
                <w:spacing w:val="0"/>
                <w:u w:val="none"/>
              </w:rPr>
              <w:t>跟随机器打包的文件中</w:t>
            </w:r>
            <w:r>
              <w:rPr>
                <w:rFonts w:hint="eastAsia" w:ascii="宋体" w:hAnsi="宋体" w:eastAsia="宋体" w:cs="宋体"/>
                <w:szCs w:val="21"/>
                <w:lang w:val="en-US" w:eastAsia="zh-CN"/>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8</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restart"/>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服务 工具要求</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工具要求</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供应商提供设置服务器硬件、辅助操作系统安装等功能的辅助工具和管理软件。且随附软件应具有合法授权或版权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9</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驱动安装升级指引</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供应商提供出厂安装的配件所需的驱动程序，形式包括但不限于驱动光盘、驱动下载链接等。其他配件应提供指引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10</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管理软件</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具备资源管理、系统管理、性能监控、健康监控、基于网络控制、报警设置功能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11</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restart"/>
            <w:shd w:val="clear" w:color="auto" w:fill="auto"/>
            <w:vAlign w:val="top"/>
          </w:tcPr>
          <w:p>
            <w:pPr>
              <w:tabs>
                <w:tab w:val="left" w:pos="34"/>
                <w:tab w:val="left" w:pos="459"/>
              </w:tabs>
              <w:jc w:val="center"/>
              <w:rPr>
                <w:rFonts w:ascii="宋体" w:hAnsi="宋体" w:eastAsia="宋体" w:cs="宋体"/>
                <w:szCs w:val="21"/>
              </w:rPr>
            </w:pPr>
            <w:r>
              <w:rPr>
                <w:rFonts w:hint="eastAsia" w:ascii="宋体" w:hAnsi="宋体" w:eastAsia="宋体" w:cs="宋体"/>
                <w:szCs w:val="21"/>
              </w:rPr>
              <w:t>增值 服务</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厂家升级产品软件与扩容服务</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供应商提供原厂级的部件/软件产品升级和扩容能力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12</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hint="eastAsia" w:ascii="宋体" w:hAnsi="宋体" w:eastAsia="宋体" w:cs="宋体"/>
                <w:szCs w:val="21"/>
              </w:rPr>
            </w:pP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服务保障</w:t>
            </w:r>
          </w:p>
        </w:tc>
        <w:tc>
          <w:tcPr>
            <w:tcW w:w="4720" w:type="dxa"/>
            <w:shd w:val="clear" w:color="auto" w:fill="auto"/>
            <w:vAlign w:val="top"/>
          </w:tcPr>
          <w:p>
            <w:pPr>
              <w:pBdr>
                <w:bottom w:val="none" w:color="auto" w:sz="0" w:space="0"/>
              </w:pBdr>
              <w:tabs>
                <w:tab w:val="left" w:pos="34"/>
                <w:tab w:val="left" w:pos="459"/>
              </w:tabs>
              <w:rPr>
                <w:i w:val="0"/>
                <w:strike w:val="0"/>
                <w:color w:val="000000"/>
                <w:u w:val="none"/>
              </w:rPr>
            </w:pPr>
            <w:r>
              <w:rPr>
                <w:rFonts w:hint="eastAsia" w:ascii="宋体" w:hAnsi="宋体" w:eastAsia="宋体" w:cs="宋体"/>
                <w:szCs w:val="21"/>
                <w:lang w:val="en-US" w:eastAsia="zh-CN"/>
              </w:rPr>
              <w:t>设备生产制造厂商需承诺在质保维保期满后提供不低于质保维保期内的原厂质保维保及技术支持的有偿服务，有偿质保维保服务费用需在此次投标现场提供报价承诺函，设备生产制造厂商原厂需对该报价承诺函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13</w:t>
            </w:r>
          </w:p>
        </w:tc>
        <w:tc>
          <w:tcPr>
            <w:tcW w:w="684" w:type="dxa"/>
            <w:vMerge w:val="continue"/>
            <w:vAlign w:val="top"/>
          </w:tcPr>
          <w:p>
            <w:pPr>
              <w:tabs>
                <w:tab w:val="left" w:pos="34"/>
                <w:tab w:val="left" w:pos="459"/>
              </w:tabs>
              <w:jc w:val="center"/>
              <w:rPr>
                <w:rFonts w:hint="default" w:ascii="宋体" w:hAnsi="宋体" w:eastAsia="宋体" w:cs="宋体"/>
                <w:szCs w:val="21"/>
                <w:lang w:val="en-US" w:eastAsia="zh-CN"/>
              </w:rPr>
            </w:pPr>
          </w:p>
        </w:tc>
        <w:tc>
          <w:tcPr>
            <w:tcW w:w="785" w:type="dxa"/>
            <w:vMerge w:val="continue"/>
            <w:shd w:val="clear" w:color="auto" w:fill="auto"/>
            <w:vAlign w:val="top"/>
          </w:tcPr>
          <w:p>
            <w:pPr>
              <w:tabs>
                <w:tab w:val="left" w:pos="34"/>
                <w:tab w:val="left" w:pos="459"/>
              </w:tabs>
              <w:jc w:val="center"/>
              <w:rPr>
                <w:rFonts w:hint="eastAsia" w:ascii="宋体" w:hAnsi="宋体" w:eastAsia="宋体" w:cs="宋体"/>
                <w:szCs w:val="21"/>
              </w:rPr>
            </w:pPr>
          </w:p>
        </w:tc>
        <w:tc>
          <w:tcPr>
            <w:tcW w:w="1257" w:type="dxa"/>
            <w:shd w:val="clear" w:color="auto" w:fill="auto"/>
            <w:vAlign w:val="top"/>
          </w:tcPr>
          <w:p>
            <w:pPr>
              <w:tabs>
                <w:tab w:val="left" w:pos="34"/>
                <w:tab w:val="left" w:pos="459"/>
              </w:tabs>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提供上门服务</w:t>
            </w:r>
          </w:p>
        </w:tc>
        <w:tc>
          <w:tcPr>
            <w:tcW w:w="4720" w:type="dxa"/>
            <w:shd w:val="clear" w:color="auto" w:fill="auto"/>
            <w:vAlign w:val="top"/>
          </w:tcPr>
          <w:p>
            <w:pPr>
              <w:tabs>
                <w:tab w:val="left" w:pos="34"/>
                <w:tab w:val="left" w:pos="459"/>
              </w:tabs>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供应商具备提供上门服务的能力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shd w:val="clear" w:color="auto" w:fill="auto"/>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14</w:t>
            </w:r>
          </w:p>
        </w:tc>
        <w:tc>
          <w:tcPr>
            <w:tcW w:w="684" w:type="dxa"/>
            <w:vAlign w:val="top"/>
          </w:tcPr>
          <w:p>
            <w:pPr>
              <w:tabs>
                <w:tab w:val="left" w:pos="34"/>
                <w:tab w:val="left" w:pos="459"/>
              </w:tabs>
              <w:jc w:val="center"/>
              <w:rPr>
                <w:rFonts w:hint="default" w:ascii="宋体" w:hAnsi="宋体" w:eastAsia="宋体" w:cs="宋体"/>
                <w:szCs w:val="21"/>
                <w:lang w:val="en-US" w:eastAsia="zh-CN"/>
              </w:rPr>
            </w:pPr>
            <w:r>
              <w:rPr>
                <w:rFonts w:hint="default" w:ascii="宋体" w:hAnsi="宋体" w:eastAsia="宋体" w:cs="宋体"/>
                <w:szCs w:val="21"/>
                <w:lang w:val="en-US" w:eastAsia="zh-CN"/>
              </w:rPr>
              <w:t>供保要求</w:t>
            </w:r>
          </w:p>
        </w:tc>
        <w:tc>
          <w:tcPr>
            <w:tcW w:w="785" w:type="dxa"/>
            <w:shd w:val="clear" w:color="auto" w:fill="auto"/>
            <w:vAlign w:val="top"/>
          </w:tcPr>
          <w:p>
            <w:pPr>
              <w:tabs>
                <w:tab w:val="left" w:pos="34"/>
                <w:tab w:val="left" w:pos="459"/>
              </w:tabs>
              <w:jc w:val="center"/>
              <w:rPr>
                <w:rFonts w:hint="eastAsia" w:ascii="宋体" w:hAnsi="宋体" w:eastAsia="宋体" w:cs="宋体"/>
                <w:szCs w:val="21"/>
              </w:rPr>
            </w:pPr>
            <w:r>
              <w:rPr>
                <w:rFonts w:hint="eastAsia" w:ascii="宋体" w:hAnsi="宋体" w:eastAsia="宋体" w:cs="宋体"/>
                <w:szCs w:val="21"/>
              </w:rPr>
              <w:t>供应 链质量</w:t>
            </w:r>
          </w:p>
        </w:tc>
        <w:tc>
          <w:tcPr>
            <w:tcW w:w="1257"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抗干扰性</w:t>
            </w:r>
          </w:p>
        </w:tc>
        <w:tc>
          <w:tcPr>
            <w:tcW w:w="4720" w:type="dxa"/>
            <w:shd w:val="clear" w:color="auto" w:fill="auto"/>
            <w:vAlign w:val="top"/>
          </w:tcPr>
          <w:p>
            <w:pPr>
              <w:tabs>
                <w:tab w:val="left" w:pos="34"/>
                <w:tab w:val="left" w:pos="459"/>
              </w:tabs>
              <w:rPr>
                <w:rFonts w:hint="eastAsia" w:ascii="宋体" w:hAnsi="宋体" w:eastAsia="宋体" w:cs="宋体"/>
                <w:szCs w:val="21"/>
                <w:lang w:val="en-US" w:eastAsia="zh-CN"/>
              </w:rPr>
            </w:pPr>
            <w:r>
              <w:rPr>
                <w:rFonts w:hint="eastAsia" w:ascii="宋体" w:hAnsi="宋体" w:eastAsia="宋体" w:cs="宋体"/>
                <w:szCs w:val="21"/>
                <w:lang w:val="en-US" w:eastAsia="zh-CN"/>
              </w:rPr>
              <w:t>当产品部件出现供应风险时，应通知客户并提供风险应对方案确保产品的服务保障，必要时应停止相关受影响产品的销售</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lowerLetter"/>
      <w:suff w:val="nothing"/>
      <w:lvlText w:val="%1）"/>
      <w:lvlJc w:val="left"/>
    </w:lvl>
  </w:abstractNum>
  <w:abstractNum w:abstractNumId="1">
    <w:nsid w:val="B70A6086"/>
    <w:multiLevelType w:val="singleLevel"/>
    <w:tmpl w:val="B70A6086"/>
    <w:lvl w:ilvl="0" w:tentative="0">
      <w:start w:val="1"/>
      <w:numFmt w:val="decimal"/>
      <w:suff w:val="nothing"/>
      <w:lvlText w:val="%1、"/>
      <w:lvlJc w:val="left"/>
    </w:lvl>
  </w:abstractNum>
  <w:abstractNum w:abstractNumId="2">
    <w:nsid w:val="BF205925"/>
    <w:multiLevelType w:val="singleLevel"/>
    <w:tmpl w:val="BF205925"/>
    <w:lvl w:ilvl="0" w:tentative="0">
      <w:start w:val="1"/>
      <w:numFmt w:val="decimal"/>
      <w:suff w:val="space"/>
      <w:lvlText w:val="%1)"/>
      <w:lvlJc w:val="left"/>
    </w:lvl>
  </w:abstractNum>
  <w:abstractNum w:abstractNumId="3">
    <w:nsid w:val="CF092B84"/>
    <w:multiLevelType w:val="singleLevel"/>
    <w:tmpl w:val="CF092B84"/>
    <w:lvl w:ilvl="0" w:tentative="0">
      <w:start w:val="1"/>
      <w:numFmt w:val="lowerLetter"/>
      <w:suff w:val="space"/>
      <w:lvlText w:val="%1)"/>
      <w:lvlJc w:val="left"/>
    </w:lvl>
  </w:abstractNum>
  <w:abstractNum w:abstractNumId="4">
    <w:nsid w:val="D86213D0"/>
    <w:multiLevelType w:val="multilevel"/>
    <w:tmpl w:val="D86213D0"/>
    <w:lvl w:ilvl="0" w:tentative="0">
      <w:start w:val="1"/>
      <w:numFmt w:val="chineseCounting"/>
      <w:pStyle w:val="2"/>
      <w:suff w:val="nothing"/>
      <w:lvlText w:val="%1、"/>
      <w:lvlJc w:val="left"/>
      <w:pPr>
        <w:tabs>
          <w:tab w:val="left" w:pos="0"/>
        </w:tabs>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40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5">
    <w:nsid w:val="03D62ECE"/>
    <w:multiLevelType w:val="singleLevel"/>
    <w:tmpl w:val="03D62ECE"/>
    <w:lvl w:ilvl="0" w:tentative="0">
      <w:start w:val="1"/>
      <w:numFmt w:val="lowerLetter"/>
      <w:suff w:val="space"/>
      <w:lvlText w:val="%1)"/>
      <w:lvlJc w:val="left"/>
    </w:lvl>
  </w:abstractNum>
  <w:abstractNum w:abstractNumId="6">
    <w:nsid w:val="14A472BC"/>
    <w:multiLevelType w:val="singleLevel"/>
    <w:tmpl w:val="14A472BC"/>
    <w:lvl w:ilvl="0" w:tentative="0">
      <w:start w:val="1"/>
      <w:numFmt w:val="chineseCounting"/>
      <w:suff w:val="nothing"/>
      <w:lvlText w:val="%1、"/>
      <w:lvlJc w:val="left"/>
      <w:rPr>
        <w:rFonts w:hint="eastAsia"/>
      </w:rPr>
    </w:lvl>
  </w:abstractNum>
  <w:abstractNum w:abstractNumId="7">
    <w:nsid w:val="25B654F3"/>
    <w:multiLevelType w:val="singleLevel"/>
    <w:tmpl w:val="25B654F3"/>
    <w:lvl w:ilvl="0" w:tentative="0">
      <w:start w:val="1"/>
      <w:numFmt w:val="lowerLetter"/>
      <w:suff w:val="space"/>
      <w:lvlText w:val="%1)"/>
      <w:lvlJc w:val="left"/>
    </w:lvl>
  </w:abstractNum>
  <w:abstractNum w:abstractNumId="8">
    <w:nsid w:val="59ADCABA"/>
    <w:multiLevelType w:val="singleLevel"/>
    <w:tmpl w:val="59ADCABA"/>
    <w:lvl w:ilvl="0" w:tentative="0">
      <w:start w:val="1"/>
      <w:numFmt w:val="lowerLetter"/>
      <w:lvlText w:val="%1)"/>
      <w:lvlJc w:val="left"/>
      <w:pPr>
        <w:tabs>
          <w:tab w:val="left" w:pos="312"/>
        </w:tabs>
      </w:pPr>
    </w:lvl>
  </w:abstractNum>
  <w:num w:numId="1">
    <w:abstractNumId w:val="4"/>
  </w:num>
  <w:num w:numId="2">
    <w:abstractNumId w:val="6"/>
  </w:num>
  <w:num w:numId="3">
    <w:abstractNumId w:val="1"/>
  </w:num>
  <w:num w:numId="4">
    <w:abstractNumId w:val="3"/>
  </w:num>
  <w:num w:numId="5">
    <w:abstractNumId w:val="8"/>
  </w:num>
  <w:num w:numId="6">
    <w:abstractNumId w:val="2"/>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5cDI0D2FlPj0XruAVCczSbY1fqA=" w:salt="ISomjGGgvPOGlYlHdi/lT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DEzNTA5NmVmNjZmNzI3N2FkNjI5NTg2MzZjMWEifQ=="/>
  </w:docVars>
  <w:rsids>
    <w:rsidRoot w:val="5E61076C"/>
    <w:rsid w:val="02964702"/>
    <w:rsid w:val="0BDC7B56"/>
    <w:rsid w:val="341274EB"/>
    <w:rsid w:val="35BF6BEA"/>
    <w:rsid w:val="452F2ECF"/>
    <w:rsid w:val="4B3F05A3"/>
    <w:rsid w:val="4C10190F"/>
    <w:rsid w:val="51E9351A"/>
    <w:rsid w:val="5E61076C"/>
    <w:rsid w:val="73217DC5"/>
    <w:rsid w:val="7467373E"/>
    <w:rsid w:val="79B30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kern w:val="2"/>
      <w:sz w:val="21"/>
      <w:szCs w:val="24"/>
      <w:lang w:val="en-US" w:eastAsia="zh-CN" w:bidi="ar-SA"/>
    </w:rPr>
  </w:style>
  <w:style w:type="paragraph" w:styleId="2">
    <w:name w:val="heading 1"/>
    <w:next w:val="1"/>
    <w:qFormat/>
    <w:uiPriority w:val="9"/>
    <w:pPr>
      <w:keepNext/>
      <w:keepLines/>
      <w:numPr>
        <w:ilvl w:val="0"/>
        <w:numId w:val="1"/>
      </w:numPr>
      <w:spacing w:before="50" w:beforeLines="50" w:line="288" w:lineRule="auto"/>
      <w:outlineLvl w:val="0"/>
    </w:pPr>
    <w:rPr>
      <w:rFonts w:eastAsia="黑体" w:asciiTheme="majorEastAsia" w:hAnsiTheme="majorEastAsia" w:cstheme="minorBidi"/>
      <w:b/>
      <w:bCs/>
      <w:kern w:val="44"/>
      <w:sz w:val="40"/>
      <w:szCs w:val="18"/>
      <w:lang w:val="en-US" w:eastAsia="zh-CN" w:bidi="ar-SA"/>
    </w:rPr>
  </w:style>
  <w:style w:type="paragraph" w:styleId="3">
    <w:name w:val="heading 2"/>
    <w:next w:val="1"/>
    <w:unhideWhenUsed/>
    <w:qFormat/>
    <w:uiPriority w:val="9"/>
    <w:pPr>
      <w:numPr>
        <w:ilvl w:val="1"/>
        <w:numId w:val="1"/>
      </w:numPr>
      <w:tabs>
        <w:tab w:val="left" w:pos="0"/>
      </w:tabs>
      <w:spacing w:before="156" w:after="156"/>
      <w:ind w:left="0" w:firstLine="0"/>
      <w:outlineLvl w:val="1"/>
    </w:pPr>
    <w:rPr>
      <w:rFonts w:ascii="Arial" w:hAnsi="Arial" w:eastAsia="黑体" w:cstheme="minorBidi"/>
      <w:b/>
      <w:kern w:val="2"/>
      <w:sz w:val="32"/>
      <w:lang w:val="en-US" w:eastAsia="zh-CN" w:bidi="ar-SA"/>
    </w:rPr>
  </w:style>
  <w:style w:type="paragraph" w:styleId="4">
    <w:name w:val="heading 3"/>
    <w:next w:val="1"/>
    <w:unhideWhenUsed/>
    <w:qFormat/>
    <w:uiPriority w:val="9"/>
    <w:pPr>
      <w:numPr>
        <w:ilvl w:val="2"/>
        <w:numId w:val="1"/>
      </w:numPr>
      <w:tabs>
        <w:tab w:val="left" w:pos="312"/>
      </w:tabs>
      <w:ind w:left="0" w:firstLine="400"/>
      <w:outlineLvl w:val="2"/>
    </w:pPr>
    <w:rPr>
      <w:rFonts w:ascii="Arial" w:hAnsi="Arial" w:eastAsia="黑体" w:cstheme="minorBidi"/>
      <w:b/>
      <w:kern w:val="2"/>
      <w:sz w:val="30"/>
      <w:szCs w:val="30"/>
      <w:lang w:val="en-US" w:eastAsia="zh-CN" w:bidi="ar-SA"/>
    </w:rPr>
  </w:style>
  <w:style w:type="paragraph" w:styleId="5">
    <w:name w:val="heading 4"/>
    <w:next w:val="1"/>
    <w:unhideWhenUsed/>
    <w:qFormat/>
    <w:uiPriority w:val="9"/>
    <w:pPr>
      <w:numPr>
        <w:ilvl w:val="3"/>
        <w:numId w:val="1"/>
      </w:numPr>
      <w:ind w:left="0" w:firstLine="402"/>
      <w:outlineLvl w:val="3"/>
    </w:pPr>
    <w:rPr>
      <w:rFonts w:ascii="Arial" w:hAnsi="Arial" w:eastAsia="黑体" w:cstheme="minorBidi"/>
      <w:b/>
      <w:sz w:val="28"/>
      <w:lang w:val="en-US" w:eastAsia="zh-CN" w:bidi="ar-SA"/>
    </w:rPr>
  </w:style>
  <w:style w:type="paragraph" w:styleId="6">
    <w:name w:val="heading 5"/>
    <w:next w:val="1"/>
    <w:unhideWhenUsed/>
    <w:qFormat/>
    <w:uiPriority w:val="9"/>
    <w:pPr>
      <w:numPr>
        <w:ilvl w:val="4"/>
        <w:numId w:val="1"/>
      </w:numPr>
      <w:tabs>
        <w:tab w:val="left" w:pos="312"/>
      </w:tabs>
      <w:spacing w:before="30" w:beforeLines="30" w:after="30" w:afterLines="30"/>
      <w:ind w:left="0" w:firstLine="402"/>
      <w:outlineLvl w:val="4"/>
    </w:pPr>
    <w:rPr>
      <w:rFonts w:ascii="Arial" w:hAnsi="Arial" w:eastAsiaTheme="majorEastAsia" w:cstheme="minorBidi"/>
      <w:b/>
      <w:sz w:val="24"/>
      <w:szCs w:val="22"/>
      <w:lang w:val="en-US" w:eastAsia="zh-CN" w:bidi="ar-SA"/>
    </w:rPr>
  </w:style>
  <w:style w:type="paragraph" w:styleId="7">
    <w:name w:val="heading 6"/>
    <w:next w:val="1"/>
    <w:unhideWhenUsed/>
    <w:qFormat/>
    <w:uiPriority w:val="0"/>
    <w:pPr>
      <w:numPr>
        <w:ilvl w:val="5"/>
        <w:numId w:val="1"/>
      </w:numPr>
      <w:spacing w:before="30" w:beforeLines="30" w:after="30" w:afterLines="30" w:line="312" w:lineRule="auto"/>
      <w:ind w:left="0" w:firstLine="402"/>
      <w:outlineLvl w:val="5"/>
    </w:pPr>
    <w:rPr>
      <w:rFonts w:ascii="Arial" w:hAnsi="Arial" w:eastAsia="黑体" w:cstheme="minorBidi"/>
      <w:b/>
      <w:sz w:val="24"/>
      <w:lang w:val="en-US" w:eastAsia="zh-CN" w:bidi="ar-SA"/>
    </w:rPr>
  </w:style>
  <w:style w:type="paragraph" w:styleId="8">
    <w:name w:val="heading 7"/>
    <w:next w:val="1"/>
    <w:unhideWhenUsed/>
    <w:qFormat/>
    <w:uiPriority w:val="0"/>
    <w:pPr>
      <w:numPr>
        <w:ilvl w:val="6"/>
        <w:numId w:val="1"/>
      </w:numPr>
      <w:spacing w:before="30" w:beforeLines="30" w:after="30" w:afterLines="30" w:line="312" w:lineRule="auto"/>
      <w:ind w:left="0" w:firstLine="402"/>
      <w:outlineLvl w:val="6"/>
    </w:pPr>
    <w:rPr>
      <w:rFonts w:ascii="Arial" w:hAnsi="Arial" w:eastAsia="黑体" w:cstheme="minorBidi"/>
      <w:b/>
      <w:sz w:val="24"/>
      <w:lang w:val="en-US" w:eastAsia="zh-CN" w:bidi="ar-SA"/>
    </w:rPr>
  </w:style>
  <w:style w:type="paragraph" w:styleId="9">
    <w:name w:val="heading 8"/>
    <w:next w:val="1"/>
    <w:unhideWhenUsed/>
    <w:qFormat/>
    <w:uiPriority w:val="0"/>
    <w:pPr>
      <w:numPr>
        <w:ilvl w:val="7"/>
        <w:numId w:val="1"/>
      </w:numPr>
      <w:spacing w:before="30" w:beforeLines="30" w:after="30" w:afterLines="30" w:line="312" w:lineRule="auto"/>
      <w:ind w:left="0" w:firstLine="402"/>
      <w:outlineLvl w:val="7"/>
    </w:pPr>
    <w:rPr>
      <w:rFonts w:eastAsia="黑体" w:asciiTheme="majorAscii" w:hAnsiTheme="majorAscii" w:cstheme="majorBidi"/>
      <w:b/>
      <w:sz w:val="24"/>
      <w:lang w:val="en-US" w:eastAsia="zh-CN" w:bidi="ar-SA"/>
    </w:rPr>
  </w:style>
  <w:style w:type="paragraph" w:styleId="10">
    <w:name w:val="heading 9"/>
    <w:next w:val="1"/>
    <w:unhideWhenUsed/>
    <w:qFormat/>
    <w:uiPriority w:val="0"/>
    <w:pPr>
      <w:numPr>
        <w:ilvl w:val="8"/>
        <w:numId w:val="1"/>
      </w:numPr>
      <w:spacing w:before="30" w:beforeLines="30" w:after="30" w:afterLines="30" w:line="312" w:lineRule="auto"/>
      <w:ind w:left="0" w:firstLine="402"/>
      <w:outlineLvl w:val="8"/>
    </w:pPr>
    <w:rPr>
      <w:rFonts w:eastAsia="黑体" w:asciiTheme="majorAscii" w:hAnsiTheme="majorAscii" w:cstheme="majorBidi"/>
      <w:b/>
      <w:sz w:val="24"/>
      <w:szCs w:val="21"/>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11">
    <w:name w:val="Subtitle"/>
    <w:basedOn w:val="1"/>
    <w:qFormat/>
    <w:uiPriority w:val="0"/>
    <w:pPr>
      <w:spacing w:before="120" w:beforeLines="0" w:beforeAutospacing="0" w:after="60" w:afterLines="0" w:afterAutospacing="0" w:line="312" w:lineRule="auto"/>
      <w:jc w:val="center"/>
      <w:outlineLvl w:val="1"/>
    </w:pPr>
    <w:rPr>
      <w:rFonts w:ascii="Arial" w:hAnsi="Arial"/>
      <w:b/>
      <w:kern w:val="28"/>
      <w:sz w:val="32"/>
    </w:rPr>
  </w:style>
  <w:style w:type="paragraph" w:styleId="12">
    <w:name w:val="Title"/>
    <w:basedOn w:val="1"/>
    <w:qFormat/>
    <w:uiPriority w:val="10"/>
    <w:pPr>
      <w:spacing w:line="240" w:lineRule="auto"/>
      <w:ind w:firstLine="0" w:firstLineChars="0"/>
      <w:jc w:val="center"/>
      <w:outlineLvl w:val="0"/>
    </w:pPr>
    <w:rPr>
      <w:rFonts w:asciiTheme="majorEastAsia" w:hAnsiTheme="majorEastAsia"/>
      <w:b/>
      <w:sz w:val="52"/>
      <w:szCs w:val="4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rFonts w:ascii="Arial" w:hAnsi="Arial" w:eastAsia="黑体"/>
      <w:b/>
      <w:color w:val="auto"/>
      <w:u w:val="single"/>
    </w:rPr>
  </w:style>
  <w:style w:type="character" w:styleId="17">
    <w:name w:val="Emphasis"/>
    <w:basedOn w:val="15"/>
    <w:qFormat/>
    <w:uiPriority w:val="20"/>
    <w:rPr>
      <w:rFonts w:ascii="Arial" w:hAnsi="Arial" w:eastAsia="黑体"/>
      <w:b/>
      <w:bCs/>
      <w:i/>
      <w:color w:val="auto"/>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2024-06-18T01:59:00Z</dcterms:created>
  <dc:creator>牧童</dc:creator>
  <cp:lastModifiedBy>崔睿智</cp:lastModifiedBy>
  <dcterms:modified xsi:type="dcterms:W3CDTF">2024-07-12T07:59:13Z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D64B5D3AA3A24A318657D3FDE0A580CB_11</vt:lpwstr>
  </property>
</Properties>
</file>