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5D528">
      <w:pPr>
        <w:pStyle w:val="2"/>
        <w:spacing w:before="313" w:beforeLines="100" w:after="469" w:afterLines="150" w:line="360" w:lineRule="auto"/>
        <w:ind w:left="0"/>
        <w:jc w:val="left"/>
        <w:rPr>
          <w:rStyle w:val="10"/>
          <w:rFonts w:hint="default" w:ascii="宋体" w:hAnsi="宋体" w:cs="宋体"/>
          <w:b/>
          <w:bCs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Style w:val="10"/>
          <w:rFonts w:hint="eastAsia" w:ascii="宋体" w:hAnsi="宋体" w:cs="宋体"/>
          <w:b/>
          <w:bCs/>
          <w:sz w:val="36"/>
          <w:szCs w:val="36"/>
          <w:lang w:val="en-US" w:eastAsia="zh-CN" w:bidi="ar-SA"/>
        </w:rPr>
        <w:t>附件6.供应商案例择优评价细则</w:t>
      </w:r>
    </w:p>
    <w:p w14:paraId="2C95A5F9">
      <w:pPr>
        <w:numPr>
          <w:ilvl w:val="0"/>
          <w:numId w:val="0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本项目择优选择供应商，具体办法如下:</w:t>
      </w:r>
    </w:p>
    <w:p w14:paraId="3AD2B64E">
      <w:pPr>
        <w:numPr>
          <w:ilvl w:val="0"/>
          <w:numId w:val="0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theme="minorBidi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当通过资格审核供应商不超过8家(含)时，我司将邀请所有通过资格审核的供应商参与项目竞争。</w:t>
      </w:r>
    </w:p>
    <w:p w14:paraId="7E5DF8CF">
      <w:pPr>
        <w:numPr>
          <w:ilvl w:val="0"/>
          <w:numId w:val="0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2.当通过资格审核的供应商数量超过8家时,我公司将按照下述择优维度及标准，根据供应商提供的相关材料进行择优，通过择优的供应商可参与后续采购流程。</w:t>
      </w:r>
    </w:p>
    <w:p w14:paraId="12608078">
      <w:pPr>
        <w:numPr>
          <w:ilvl w:val="0"/>
          <w:numId w:val="0"/>
        </w:numPr>
        <w:snapToGrid/>
        <w:spacing w:line="336" w:lineRule="auto"/>
        <w:ind w:left="0" w:leftChars="0" w:right="0" w:rightChars="0" w:firstLine="640" w:firstLineChars="200"/>
        <w:jc w:val="both"/>
        <w:outlineLvl w:val="9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3.择优维度。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1169"/>
        <w:gridCol w:w="5709"/>
      </w:tblGrid>
      <w:tr w14:paraId="421A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613CBA13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评审因素</w:t>
            </w:r>
          </w:p>
        </w:tc>
        <w:tc>
          <w:tcPr>
            <w:tcW w:w="1169" w:type="dxa"/>
          </w:tcPr>
          <w:p w14:paraId="19C03D66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分值</w:t>
            </w:r>
          </w:p>
        </w:tc>
        <w:tc>
          <w:tcPr>
            <w:tcW w:w="5709" w:type="dxa"/>
          </w:tcPr>
          <w:p w14:paraId="49138595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评分内容</w:t>
            </w:r>
          </w:p>
        </w:tc>
      </w:tr>
      <w:tr w14:paraId="3DE4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179086B0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有效案例数量</w:t>
            </w:r>
          </w:p>
        </w:tc>
        <w:tc>
          <w:tcPr>
            <w:tcW w:w="1169" w:type="dxa"/>
          </w:tcPr>
          <w:p w14:paraId="1600F7F1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709" w:type="dxa"/>
          </w:tcPr>
          <w:p w14:paraId="31A2E1D1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供应商提供的有效（通过成片、合同、发票等脱密内容证明）平面、视频摄制案例数量（不超过10个）。</w:t>
            </w:r>
          </w:p>
        </w:tc>
      </w:tr>
      <w:tr w14:paraId="62F2C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6ED4CCF8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案例均衡度</w:t>
            </w:r>
          </w:p>
        </w:tc>
        <w:tc>
          <w:tcPr>
            <w:tcW w:w="1169" w:type="dxa"/>
          </w:tcPr>
          <w:p w14:paraId="0FBEC5F2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709" w:type="dxa"/>
          </w:tcPr>
          <w:p w14:paraId="4289DEE9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供应商提供的有效案例，平面、视频两类均有覆盖，数量均衡度。</w:t>
            </w:r>
          </w:p>
        </w:tc>
      </w:tr>
      <w:tr w14:paraId="71F3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5FDFE673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案例与山航匹配度</w:t>
            </w:r>
          </w:p>
        </w:tc>
        <w:tc>
          <w:tcPr>
            <w:tcW w:w="1169" w:type="dxa"/>
          </w:tcPr>
          <w:p w14:paraId="091264F6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709" w:type="dxa"/>
          </w:tcPr>
          <w:p w14:paraId="49095EAA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供应商提供的有效案例涉及的行业、类型、风格、应用场景等与山航品牌的匹配度。</w:t>
            </w:r>
          </w:p>
        </w:tc>
      </w:tr>
      <w:tr w14:paraId="1A5F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1D878A03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视频创意度</w:t>
            </w:r>
          </w:p>
        </w:tc>
        <w:tc>
          <w:tcPr>
            <w:tcW w:w="1169" w:type="dxa"/>
          </w:tcPr>
          <w:p w14:paraId="007E35C5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709" w:type="dxa"/>
          </w:tcPr>
          <w:p w14:paraId="20AA286C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创意高度，脚本/分镜完整度，叙事能力，形式创新能力，品牌或主题结合紧密度，传播程度。</w:t>
            </w:r>
          </w:p>
        </w:tc>
      </w:tr>
      <w:tr w14:paraId="68BB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642" w:type="dxa"/>
          </w:tcPr>
          <w:p w14:paraId="0EE531D0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平面创意度</w:t>
            </w:r>
          </w:p>
        </w:tc>
        <w:tc>
          <w:tcPr>
            <w:tcW w:w="1169" w:type="dxa"/>
          </w:tcPr>
          <w:p w14:paraId="413E0EA2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709" w:type="dxa"/>
          </w:tcPr>
          <w:p w14:paraId="1F9A6CC0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主题概念突出程度，视觉符号鲜明度，创意与品牌及传播目标契合度。</w:t>
            </w:r>
          </w:p>
        </w:tc>
      </w:tr>
      <w:tr w14:paraId="1B89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783D5168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平面及视频审美表现</w:t>
            </w:r>
          </w:p>
        </w:tc>
        <w:tc>
          <w:tcPr>
            <w:tcW w:w="1169" w:type="dxa"/>
          </w:tcPr>
          <w:p w14:paraId="5B66B60E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5709" w:type="dxa"/>
          </w:tcPr>
          <w:p w14:paraId="38690868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视觉风格与品牌调性、构图、光影、色彩、细节质感、整体完成度与辨识度等。</w:t>
            </w:r>
          </w:p>
        </w:tc>
      </w:tr>
      <w:tr w14:paraId="6D132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0F28B78B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视频摄制技术</w:t>
            </w:r>
          </w:p>
        </w:tc>
        <w:tc>
          <w:tcPr>
            <w:tcW w:w="1169" w:type="dxa"/>
          </w:tcPr>
          <w:p w14:paraId="44CF669D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5709" w:type="dxa"/>
          </w:tcPr>
          <w:p w14:paraId="1F1643BD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画面清晰稳定程度，曝光、对焦准确度，构图规范程度，灯光、收音专业程度，剪辑节奏流畅度，调色统一度，特效/动画/字幕匹配度等。</w:t>
            </w:r>
          </w:p>
        </w:tc>
      </w:tr>
      <w:tr w14:paraId="6226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2" w:type="dxa"/>
          </w:tcPr>
          <w:p w14:paraId="21C93BBC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平面摄制技术</w:t>
            </w:r>
          </w:p>
        </w:tc>
        <w:tc>
          <w:tcPr>
            <w:tcW w:w="1169" w:type="dxa"/>
          </w:tcPr>
          <w:p w14:paraId="34DAA9DF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5709" w:type="dxa"/>
          </w:tcPr>
          <w:p w14:paraId="0B65E990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构图、布光、清晰度、色彩、后期修图、合成、输出质量，技术完成专业程度。</w:t>
            </w:r>
          </w:p>
        </w:tc>
      </w:tr>
    </w:tbl>
    <w:p w14:paraId="1C17DFD1">
      <w:pPr>
        <w:pStyle w:val="3"/>
        <w:numPr>
          <w:ilvl w:val="0"/>
          <w:numId w:val="0"/>
        </w:numPr>
        <w:ind w:leftChars="0"/>
        <w:rPr>
          <w:rFonts w:hint="eastAsia" w:asciiTheme="minorEastAsia" w:hAnsiTheme="minorEastAsia" w:eastAsiaTheme="minorEastAsia" w:cstheme="minorEastAsia"/>
          <w:sz w:val="22"/>
          <w:szCs w:val="22"/>
          <w:highlight w:val="none"/>
          <w:lang w:val="en-US" w:eastAsia="zh-CN"/>
        </w:rPr>
      </w:pPr>
    </w:p>
    <w:p w14:paraId="75634EB9">
      <w:pPr>
        <w:numPr>
          <w:ilvl w:val="0"/>
          <w:numId w:val="0"/>
        </w:numPr>
        <w:snapToGrid/>
        <w:spacing w:line="336" w:lineRule="auto"/>
        <w:ind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4.我公司将按照供应商提供的上述相关材料，根据上述择优标准进行赋分，按照总分值从高到低顺序取前8名。请确保提交的材料清晰、详细，并根据附件格式填写相关内容。</w:t>
      </w:r>
    </w:p>
    <w:p w14:paraId="1577E31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0C32E">
    <w:pPr>
      <w:pStyle w:val="5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6258 2026-09-14 10:02:05" style="font-family:Arial;font-size:17pt;v-text-align:center;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dit="trackedChanges" w:enforcement="1" w:cryptProviderType="rsaFull" w:cryptAlgorithmClass="hash" w:cryptAlgorithmType="typeAny" w:cryptAlgorithmSid="4" w:cryptSpinCount="0" w:hash="kKcEZqpTYdPayX1O6Iuj3di/OCk=" w:salt="SL+F6DsLcshHAKtvAqIikA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kMTg2OTkxYWUwN2U4MjQzZDIwMjU3NTQxNzU0NWIifQ=="/>
  </w:docVars>
  <w:rsids>
    <w:rsidRoot w:val="00000000"/>
    <w:rsid w:val="3FFC6A63"/>
    <w:rsid w:val="407C2899"/>
    <w:rsid w:val="44847C00"/>
    <w:rsid w:val="57DA50D4"/>
    <w:rsid w:val="6041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tabs>
        <w:tab w:val="left" w:pos="432"/>
      </w:tabs>
      <w:spacing w:before="340" w:line="578" w:lineRule="auto"/>
      <w:ind w:left="432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华文细黑" w:hAnsi="华文细黑" w:eastAsia="华文细黑" w:cs="宋体"/>
      <w:b/>
      <w:bCs/>
      <w:kern w:val="44"/>
      <w:szCs w:val="21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link w:val="2"/>
    <w:autoRedefine/>
    <w:qFormat/>
    <w:uiPriority w:val="0"/>
    <w:rPr>
      <w:rFonts w:ascii="Times New Roman" w:hAnsi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621</Characters>
  <Lines>0</Lines>
  <Paragraphs>0</Paragraphs>
  <TotalTime>2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2026-09-10T05:53:00Z</dcterms:created>
  <dc:creator>lenovo</dc:creator>
  <cp:lastModifiedBy>齐哲浩</cp:lastModifiedBy>
  <dcterms:modified xsi:type="dcterms:W3CDTF">2026-09-14T02:02:12Z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859D451C9ED64B698D20B749061D8F2B_12</vt:lpwstr>
  </property>
</Properties>
</file>