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3EAA">
      <w:pPr>
        <w:spacing w:line="360" w:lineRule="auto"/>
        <w:rPr>
          <w:rFonts w:hint="eastAsia" w:ascii="仿宋_GB2312" w:hAnsi="仿宋_GB2312" w:eastAsia="仿宋_GB2312" w:cs="仿宋_GB2312"/>
          <w:b/>
          <w:bCs/>
          <w:sz w:val="28"/>
          <w:szCs w:val="28"/>
        </w:rPr>
      </w:pPr>
      <w:bookmarkStart w:id="1" w:name="_GoBack"/>
      <w:bookmarkEnd w:id="1"/>
      <w:r>
        <w:rPr>
          <w:rFonts w:hint="eastAsia" w:ascii="楷体_GB2312" w:hAnsi="楷体_GB2312" w:eastAsia="楷体_GB2312" w:cs="楷体_GB2312"/>
          <w:b/>
          <w:bCs/>
          <w:sz w:val="32"/>
          <w:szCs w:val="32"/>
        </w:rPr>
        <w:t>需实现的功能或目标</w:t>
      </w:r>
    </w:p>
    <w:p w14:paraId="6F5F053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1.产品基础功能：</w:t>
      </w:r>
    </w:p>
    <w:p w14:paraId="4318C87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（1）具备个人邮箱与公共业务邮箱的分离和切换功能；</w:t>
      </w:r>
    </w:p>
    <w:p w14:paraId="4B08007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（2）具备完整的电子邮件常用功能模块，包括但不限于收发信、通知公告、通讯录、归档、网盘、自助查询等。</w:t>
      </w:r>
    </w:p>
    <w:p w14:paraId="35682C4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（3）具备准确的通讯讯息显示和输入自动联想功能。</w:t>
      </w:r>
    </w:p>
    <w:p w14:paraId="76C7AFF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（4）具备保密邮件、自定义群发、撤回等功能。</w:t>
      </w:r>
    </w:p>
    <w:p w14:paraId="77A51D2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（5）支持不限容量、超大附件、超大微盘。</w:t>
      </w:r>
    </w:p>
    <w:p w14:paraId="3974210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（6）具备便捷的历史邮件迁移功能。</w:t>
      </w:r>
    </w:p>
    <w:p w14:paraId="2DFDA2B8">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2.国产化适配能力</w:t>
      </w:r>
      <w:r>
        <w:rPr>
          <w:rFonts w:hint="eastAsia" w:ascii="仿宋_GB2312" w:hAnsi="仿宋_GB2312" w:eastAsia="仿宋_GB2312" w:cs="仿宋_GB2312"/>
          <w:sz w:val="28"/>
          <w:szCs w:val="28"/>
        </w:rPr>
        <w:t>：全面适配国产化主流 CPU、操作系统、数据库产品，已通过国产芯片厂商、操作系统厂商及数据库厂商的产品兼容性互认证。支持从国产化版与原</w:t>
      </w:r>
      <w:r>
        <w:rPr>
          <w:rFonts w:hint="eastAsia" w:ascii="仿宋_GB2312" w:hAnsi="仿宋_GB2312" w:eastAsia="仿宋_GB2312" w:cs="仿宋_GB2312"/>
          <w:sz w:val="28"/>
          <w:szCs w:val="28"/>
          <w:lang w:val="en-US" w:eastAsia="zh-CN"/>
        </w:rPr>
        <w:t>VIP账号</w:t>
      </w:r>
      <w:r>
        <w:rPr>
          <w:rFonts w:hint="eastAsia" w:ascii="仿宋_GB2312" w:hAnsi="仿宋_GB2312" w:eastAsia="仿宋_GB2312" w:cs="仿宋_GB2312"/>
          <w:sz w:val="28"/>
          <w:szCs w:val="28"/>
        </w:rPr>
        <w:t>专业版间可以无缝切换。</w:t>
      </w:r>
    </w:p>
    <w:p w14:paraId="6B110EA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3.生态集成能力</w:t>
      </w:r>
      <w:r>
        <w:rPr>
          <w:rFonts w:hint="eastAsia" w:ascii="仿宋_GB2312" w:hAnsi="仿宋_GB2312" w:eastAsia="仿宋_GB2312" w:cs="仿宋_GB2312"/>
          <w:sz w:val="28"/>
          <w:szCs w:val="28"/>
        </w:rPr>
        <w:t>：支持与企业微信集成，邮箱通讯录与企业微信通讯录完全融合互通，实现通讯录实时同步。</w:t>
      </w:r>
    </w:p>
    <w:p w14:paraId="70743FBF">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4.登录安全能力</w:t>
      </w:r>
      <w:r>
        <w:rPr>
          <w:rFonts w:hint="eastAsia" w:ascii="仿宋_GB2312" w:hAnsi="仿宋_GB2312" w:eastAsia="仿宋_GB2312" w:cs="仿宋_GB2312"/>
          <w:sz w:val="28"/>
          <w:szCs w:val="28"/>
        </w:rPr>
        <w:t>：</w:t>
      </w:r>
    </w:p>
    <w:p w14:paraId="6241E509">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（1）支持微信、企业微信扫码登录，支持清空密码，支持强制安全登录。</w:t>
      </w:r>
    </w:p>
    <w:p w14:paraId="2864E748">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（2）允许其他信息系统程序通过邮件服务器接口进行收发信，兼顾系统使用便利性与底层安全性。</w:t>
      </w:r>
    </w:p>
    <w:p w14:paraId="0AB3FAF2">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（3）支持证书</w:t>
      </w:r>
      <w:r>
        <w:rPr>
          <w:rFonts w:hint="eastAsia" w:ascii="仿宋_GB2312" w:hAnsi="仿宋_GB2312" w:eastAsia="仿宋_GB2312" w:cs="仿宋_GB2312"/>
          <w:sz w:val="28"/>
          <w:szCs w:val="28"/>
          <w:highlight w:val="none"/>
        </w:rPr>
        <w:t>上传</w:t>
      </w:r>
      <w:r>
        <w:rPr>
          <w:rFonts w:hint="eastAsia" w:ascii="仿宋_GB2312" w:hAnsi="仿宋_GB2312" w:eastAsia="仿宋_GB2312" w:cs="仿宋_GB2312"/>
          <w:sz w:val="28"/>
          <w:szCs w:val="28"/>
        </w:rPr>
        <w:t>、证书使用，支持标准的SSL和HTTPS连接。</w:t>
      </w:r>
    </w:p>
    <w:p w14:paraId="395FDBC7">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5.安全防护能力</w:t>
      </w:r>
      <w:r>
        <w:rPr>
          <w:rFonts w:hint="eastAsia" w:ascii="仿宋_GB2312" w:hAnsi="仿宋_GB2312" w:eastAsia="仿宋_GB2312" w:cs="仿宋_GB2312"/>
          <w:sz w:val="28"/>
          <w:szCs w:val="28"/>
        </w:rPr>
        <w:t>：</w:t>
      </w:r>
    </w:p>
    <w:p w14:paraId="6AA95F2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（1）具备内外网分离、先进的软硬件防火墙并配置全面的邮箱防护工具，包括但不限于抗</w:t>
      </w:r>
      <w:r>
        <w:rPr>
          <w:rFonts w:hint="eastAsia" w:ascii="仿宋_GB2312" w:hAnsi="仿宋_GB2312" w:eastAsia="仿宋_GB2312" w:cs="仿宋_GB2312"/>
          <w:sz w:val="28"/>
          <w:szCs w:val="28"/>
          <w:highlight w:val="none"/>
        </w:rPr>
        <w:t>网络通信安全、DDoS 攻击防护、网络接入安全、</w:t>
      </w:r>
      <w:r>
        <w:rPr>
          <w:rFonts w:ascii="仿宋_GB2312" w:hAnsi="仿宋_GB2312" w:eastAsia="仿宋_GB2312" w:cs="仿宋_GB2312"/>
          <w:sz w:val="28"/>
          <w:szCs w:val="28"/>
          <w:highlight w:val="none"/>
        </w:rPr>
        <w:t>网络隔离</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网络冗余</w:t>
      </w:r>
      <w:r>
        <w:rPr>
          <w:rFonts w:hint="eastAsia" w:ascii="仿宋_GB2312" w:hAnsi="仿宋_GB2312" w:eastAsia="仿宋_GB2312" w:cs="仿宋_GB2312"/>
          <w:sz w:val="28"/>
          <w:szCs w:val="28"/>
        </w:rPr>
        <w:t>等。</w:t>
      </w:r>
    </w:p>
    <w:p w14:paraId="27F6825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（2）具备先进的病毒库和全面的恶意邮件样本，且病毒库更新频次应高于12次/小时，对于勒索病毒、挖矿病毒等为代表的互联网病毒能够即刻有效清除。</w:t>
      </w:r>
    </w:p>
    <w:p w14:paraId="4ECCEA89">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（3）支持外部垃圾邮件过滤拦截、支持自定义过滤策略、支持黑白名单管理、支持外部攻击来源查看、支持安全风险日志信息查看。</w:t>
      </w:r>
    </w:p>
    <w:p w14:paraId="3C5CEF7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（4）在邮件系统成员接收陌生地址来信时，系统具备外部风险提示标识，有效防范钓鱼邮件及垃圾邮件风险。</w:t>
      </w:r>
    </w:p>
    <w:p w14:paraId="61D5C19D">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6.入侵防范能力</w:t>
      </w:r>
      <w:r>
        <w:rPr>
          <w:rFonts w:hint="eastAsia" w:ascii="仿宋_GB2312" w:hAnsi="仿宋_GB2312" w:eastAsia="仿宋_GB2312" w:cs="仿宋_GB2312"/>
          <w:sz w:val="28"/>
          <w:szCs w:val="28"/>
        </w:rPr>
        <w:t>：</w:t>
      </w:r>
    </w:p>
    <w:p w14:paraId="695232B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应在网络边界处监视以下攻击行为：端口扫描、强力攻击、木马后门攻击、拒绝服务攻击、缓冲区溢出攻击、IP碎片攻击和网络蠕虫攻击等</w:t>
      </w:r>
      <w:r>
        <w:rPr>
          <w:rFonts w:hint="eastAsia" w:ascii="仿宋_GB2312" w:hAnsi="仿宋_GB2312" w:eastAsia="仿宋_GB2312" w:cs="仿宋_GB2312"/>
          <w:sz w:val="28"/>
          <w:szCs w:val="28"/>
        </w:rPr>
        <w:t>；</w:t>
      </w:r>
    </w:p>
    <w:p w14:paraId="6E10A66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（2）具备强大的身份识别、防暴力破解、多重登录异常检测、ip登录限制等安全防护措施。</w:t>
      </w:r>
    </w:p>
    <w:p w14:paraId="51088486">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（3）应</w:t>
      </w:r>
      <w:r>
        <w:rPr>
          <w:rFonts w:ascii="仿宋_GB2312" w:hAnsi="仿宋_GB2312" w:eastAsia="仿宋_GB2312" w:cs="仿宋_GB2312"/>
          <w:sz w:val="28"/>
          <w:szCs w:val="28"/>
        </w:rPr>
        <w:t>设置升级服务器等方式保持系统补丁及时得到更新</w:t>
      </w:r>
      <w:r>
        <w:rPr>
          <w:rFonts w:hint="eastAsia" w:ascii="仿宋_GB2312" w:hAnsi="仿宋_GB2312" w:eastAsia="仿宋_GB2312" w:cs="仿宋_GB2312"/>
          <w:sz w:val="28"/>
          <w:szCs w:val="28"/>
        </w:rPr>
        <w:t>，且升级时用户无感知</w:t>
      </w:r>
      <w:r>
        <w:rPr>
          <w:rFonts w:ascii="仿宋_GB2312" w:hAnsi="仿宋_GB2312" w:eastAsia="仿宋_GB2312" w:cs="仿宋_GB2312"/>
          <w:sz w:val="28"/>
          <w:szCs w:val="28"/>
        </w:rPr>
        <w:t>。</w:t>
      </w:r>
    </w:p>
    <w:p w14:paraId="7D50E5D3">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7.</w:t>
      </w:r>
      <w:r>
        <w:rPr>
          <w:rFonts w:ascii="仿宋_GB2312" w:hAnsi="仿宋_GB2312" w:eastAsia="仿宋_GB2312" w:cs="仿宋_GB2312"/>
          <w:b/>
          <w:bCs/>
          <w:sz w:val="28"/>
          <w:szCs w:val="28"/>
        </w:rPr>
        <w:t>数据流出管控</w:t>
      </w:r>
      <w:r>
        <w:rPr>
          <w:rFonts w:hint="eastAsia" w:ascii="仿宋_GB2312" w:hAnsi="仿宋_GB2312" w:eastAsia="仿宋_GB2312" w:cs="仿宋_GB2312"/>
          <w:b/>
          <w:bCs/>
          <w:sz w:val="28"/>
          <w:szCs w:val="28"/>
        </w:rPr>
        <w:t>能力</w:t>
      </w:r>
      <w:r>
        <w:rPr>
          <w:rFonts w:hint="eastAsia" w:ascii="仿宋_GB2312" w:hAnsi="仿宋_GB2312" w:eastAsia="仿宋_GB2312" w:cs="仿宋_GB2312"/>
          <w:sz w:val="28"/>
          <w:szCs w:val="28"/>
        </w:rPr>
        <w:t>：</w:t>
      </w:r>
    </w:p>
    <w:p w14:paraId="51A2F953">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应</w:t>
      </w:r>
      <w:r>
        <w:rPr>
          <w:rFonts w:hint="eastAsia" w:ascii="仿宋_GB2312" w:hAnsi="仿宋_GB2312" w:eastAsia="仿宋_GB2312" w:cs="仿宋_GB2312"/>
          <w:sz w:val="28"/>
          <w:szCs w:val="28"/>
        </w:rPr>
        <w:t>具备</w:t>
      </w:r>
      <w:r>
        <w:rPr>
          <w:rFonts w:ascii="仿宋_GB2312" w:hAnsi="仿宋_GB2312" w:eastAsia="仿宋_GB2312" w:cs="仿宋_GB2312"/>
          <w:sz w:val="28"/>
          <w:szCs w:val="28"/>
        </w:rPr>
        <w:t>禁止电子邮件系统设定无条件的自动转发策略，避免重要邮件信息外泄</w:t>
      </w:r>
      <w:r>
        <w:rPr>
          <w:rFonts w:hint="eastAsia" w:ascii="仿宋_GB2312" w:hAnsi="仿宋_GB2312" w:eastAsia="仿宋_GB2312" w:cs="仿宋_GB2312"/>
          <w:sz w:val="28"/>
          <w:szCs w:val="28"/>
        </w:rPr>
        <w:t>；</w:t>
      </w:r>
    </w:p>
    <w:p w14:paraId="048C25EF">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（2）能够保证国内、国际间正常邮件通信不受影响且不遗失、不被外部获取。</w:t>
      </w:r>
    </w:p>
    <w:p w14:paraId="328D198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应</w:t>
      </w:r>
      <w:r>
        <w:rPr>
          <w:rFonts w:hint="eastAsia" w:ascii="仿宋_GB2312" w:hAnsi="仿宋_GB2312" w:eastAsia="仿宋_GB2312" w:cs="仿宋_GB2312"/>
          <w:sz w:val="28"/>
          <w:szCs w:val="28"/>
        </w:rPr>
        <w:t>具备</w:t>
      </w:r>
      <w:r>
        <w:rPr>
          <w:rFonts w:ascii="仿宋_GB2312" w:hAnsi="仿宋_GB2312" w:eastAsia="仿宋_GB2312" w:cs="仿宋_GB2312"/>
          <w:sz w:val="28"/>
          <w:szCs w:val="28"/>
        </w:rPr>
        <w:t>对电子邮件系统外发流出的邮件内容进行安全管控</w:t>
      </w:r>
      <w:r>
        <w:rPr>
          <w:rFonts w:hint="eastAsia" w:ascii="仿宋_GB2312" w:hAnsi="仿宋_GB2312" w:eastAsia="仿宋_GB2312" w:cs="仿宋_GB2312"/>
          <w:sz w:val="28"/>
          <w:szCs w:val="28"/>
        </w:rPr>
        <w:t>的功能；</w:t>
      </w:r>
    </w:p>
    <w:p w14:paraId="3746DA46">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对数据流出管控应覆盖到邮件主题、正文及附件</w:t>
      </w:r>
      <w:r>
        <w:rPr>
          <w:rFonts w:hint="eastAsia" w:ascii="仿宋_GB2312" w:hAnsi="仿宋_GB2312" w:eastAsia="仿宋_GB2312" w:cs="仿宋_GB2312"/>
          <w:sz w:val="28"/>
          <w:szCs w:val="28"/>
        </w:rPr>
        <w:t>。</w:t>
      </w:r>
    </w:p>
    <w:p w14:paraId="1C8A8AA9">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8.开放接口能力</w:t>
      </w:r>
      <w:r>
        <w:rPr>
          <w:rFonts w:hint="eastAsia" w:ascii="仿宋_GB2312" w:hAnsi="仿宋_GB2312" w:eastAsia="仿宋_GB2312" w:cs="仿宋_GB2312"/>
          <w:sz w:val="28"/>
          <w:szCs w:val="28"/>
        </w:rPr>
        <w:t>：免费开放API接口，提供与公司统一身份认证、门户、办公系统等平台及应用对接接口。</w:t>
      </w:r>
    </w:p>
    <w:p w14:paraId="4547B60E">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9数据保障能力</w:t>
      </w:r>
      <w:r>
        <w:rPr>
          <w:rFonts w:hint="eastAsia" w:ascii="仿宋_GB2312" w:hAnsi="仿宋_GB2312" w:eastAsia="仿宋_GB2312" w:cs="仿宋_GB2312"/>
          <w:sz w:val="28"/>
          <w:szCs w:val="28"/>
        </w:rPr>
        <w:t>：</w:t>
      </w:r>
    </w:p>
    <w:p w14:paraId="7D6CD37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（1）具备国际领先的独立IDC机房，机房星级需满足5星及以上。</w:t>
      </w:r>
    </w:p>
    <w:p w14:paraId="0448B5A8">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具备严格的机房及数据权限管理机制，确保机房人员进出和操作均有记录和审查，确保山东航空数据不丢失、不被窃取、不被篡改，确保服务人员具备相应资质。</w:t>
      </w:r>
    </w:p>
    <w:p w14:paraId="094C86D3">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（2）腾讯企业邮箱国产化版本与</w:t>
      </w:r>
      <w:r>
        <w:rPr>
          <w:rFonts w:hint="eastAsia" w:ascii="仿宋_GB2312" w:hAnsi="仿宋_GB2312" w:eastAsia="仿宋_GB2312" w:cs="仿宋_GB2312"/>
          <w:sz w:val="28"/>
          <w:szCs w:val="28"/>
          <w:lang w:val="en-US" w:eastAsia="zh-CN"/>
        </w:rPr>
        <w:t>原VIP账号</w:t>
      </w:r>
      <w:r>
        <w:rPr>
          <w:rFonts w:hint="eastAsia" w:ascii="仿宋_GB2312" w:hAnsi="仿宋_GB2312" w:eastAsia="仿宋_GB2312" w:cs="仿宋_GB2312"/>
          <w:sz w:val="28"/>
          <w:szCs w:val="28"/>
        </w:rPr>
        <w:t>专业版之间切换，过程数据零丢失，VIP授权账号历史信件全部归档。</w:t>
      </w:r>
    </w:p>
    <w:p w14:paraId="20572792">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10.安全审计能力：</w:t>
      </w:r>
    </w:p>
    <w:p w14:paraId="38183262">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审计范围应覆盖到服务器上的每个</w:t>
      </w:r>
      <w:r>
        <w:rPr>
          <w:rFonts w:hint="eastAsia" w:ascii="仿宋_GB2312" w:hAnsi="仿宋_GB2312" w:eastAsia="仿宋_GB2312" w:cs="仿宋_GB2312"/>
          <w:sz w:val="28"/>
          <w:szCs w:val="28"/>
          <w:highlight w:val="none"/>
        </w:rPr>
        <w:t>归档VIP</w:t>
      </w:r>
      <w:r>
        <w:rPr>
          <w:rFonts w:ascii="仿宋_GB2312" w:hAnsi="仿宋_GB2312" w:eastAsia="仿宋_GB2312" w:cs="仿宋_GB2312"/>
          <w:sz w:val="28"/>
          <w:szCs w:val="28"/>
          <w:highlight w:val="none"/>
        </w:rPr>
        <w:t>用户</w:t>
      </w:r>
      <w:r>
        <w:rPr>
          <w:rFonts w:ascii="仿宋_GB2312" w:hAnsi="仿宋_GB2312" w:eastAsia="仿宋_GB2312" w:cs="仿宋_GB2312"/>
          <w:sz w:val="28"/>
          <w:szCs w:val="28"/>
        </w:rPr>
        <w:t>；</w:t>
      </w:r>
    </w:p>
    <w:p w14:paraId="5D8C671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 审计内容应包括重要用户行为、系统资源的异常使用和重要系统命令的使用等系统内重要的安全相关事件；</w:t>
      </w:r>
    </w:p>
    <w:p w14:paraId="467F885A">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审计记录应包括事件的日期、时间、类型、主体标识、客体标识和结果等；</w:t>
      </w:r>
    </w:p>
    <w:p w14:paraId="6E3E7BAE">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应保护审计记录，避免受到未预期的删除、修改或覆盖等；</w:t>
      </w:r>
    </w:p>
    <w:p w14:paraId="64E1F048">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确保电子邮件系统的审计记录留存至少180天。</w:t>
      </w:r>
    </w:p>
    <w:p w14:paraId="091836A5">
      <w:p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11.基础售后服务能力</w:t>
      </w:r>
      <w:r>
        <w:rPr>
          <w:rFonts w:hint="eastAsia" w:ascii="仿宋_GB2312" w:hAnsi="仿宋_GB2312" w:eastAsia="仿宋_GB2312" w:cs="仿宋_GB2312"/>
          <w:sz w:val="28"/>
          <w:szCs w:val="28"/>
        </w:rPr>
        <w:t>：</w:t>
      </w:r>
    </w:p>
    <w:p w14:paraId="59F2119E">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服务期内提供7×24小时技术支持服务。</w:t>
      </w:r>
    </w:p>
    <w:p w14:paraId="5A4225EC">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专属服务支持：配备一对一专属服务专员，通过微信、企业微信群提供日常技术支持。</w:t>
      </w:r>
    </w:p>
    <w:p w14:paraId="46C9798E">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紧急响应服务：专属专员全程跟进服务，重大系统故障须立即响应并在2小时内给出解决方案，24小时内提供故障报告。若发生紧急故障，需在1个工作日内安排技术人员上门处理。</w:t>
      </w:r>
    </w:p>
    <w:p w14:paraId="386FF995">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配合各级主管单位审查和日常安全检查工作，及时提供必要的支撑材料。</w:t>
      </w:r>
    </w:p>
    <w:p w14:paraId="6B1C4D32">
      <w:pPr>
        <w:numPr>
          <w:ilvl w:val="0"/>
          <w:numId w:val="0"/>
        </w:numPr>
        <w:jc w:val="left"/>
        <w:rPr>
          <w:rFonts w:hint="eastAsia" w:ascii="楷体_GB2312" w:hAnsi="楷体_GB2312" w:eastAsia="楷体_GB2312" w:cs="楷体_GB2312"/>
          <w:b/>
          <w:bCs/>
          <w:sz w:val="32"/>
          <w:szCs w:val="32"/>
        </w:rPr>
      </w:pPr>
      <w:bookmarkStart w:id="0" w:name="OLE_LINK1"/>
      <w:r>
        <w:rPr>
          <w:rFonts w:hint="eastAsia" w:ascii="楷体_GB2312" w:hAnsi="楷体_GB2312" w:eastAsia="楷体_GB2312" w:cs="楷体_GB2312"/>
          <w:b/>
          <w:bCs/>
          <w:sz w:val="32"/>
          <w:szCs w:val="32"/>
        </w:rPr>
        <w:t>需执行的国家、行业、地方或其他标准规范</w:t>
      </w:r>
    </w:p>
    <w:bookmarkEnd w:id="0"/>
    <w:p w14:paraId="4BF22E83">
      <w:pPr>
        <w:ind w:firstLine="560" w:firstLineChars="200"/>
        <w:jc w:val="left"/>
        <w:rPr>
          <w:rFonts w:hint="eastAsia" w:ascii="楷体_GB2312" w:hAnsi="楷体_GB2312" w:eastAsia="楷体_GB2312" w:cs="楷体_GB2312"/>
          <w:sz w:val="32"/>
          <w:szCs w:val="32"/>
        </w:rPr>
      </w:pPr>
      <w:r>
        <w:rPr>
          <w:rFonts w:hint="eastAsia" w:ascii="仿宋_GB2312" w:hAnsi="仿宋_GB2312" w:eastAsia="仿宋_GB2312" w:cs="仿宋_GB2312"/>
          <w:sz w:val="28"/>
          <w:szCs w:val="28"/>
        </w:rPr>
        <w:t>产品需具备国家信息安全等级保护三级认证、ISO/IEC 27001信息安全管理体系认证、ISO/IEC 20000信息技术服务管理体系认证、ISO/IEC27018隐私保护标准认证及IT产品信息安全EAL3+认证。</w:t>
      </w:r>
    </w:p>
    <w:p w14:paraId="4A50C932">
      <w:pPr>
        <w:numPr>
          <w:ilvl w:val="0"/>
          <w:numId w:val="0"/>
        </w:numPr>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需满足的数量、安全、技术规格等需求</w:t>
      </w:r>
    </w:p>
    <w:p w14:paraId="4C8D9D5E">
      <w:pPr>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邮件系统无故障率不低于99.9%。</w:t>
      </w:r>
    </w:p>
    <w:p w14:paraId="198805D2">
      <w:pPr>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邮件系统网络联通率不低于99.9％。</w:t>
      </w:r>
    </w:p>
    <w:p w14:paraId="465B865A">
      <w:pPr>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垃圾邮件拦截率</w:t>
      </w:r>
      <w:r>
        <w:rPr>
          <w:rFonts w:hint="eastAsia" w:ascii="仿宋_GB2312" w:hAnsi="仿宋_GB2312" w:eastAsia="仿宋_GB2312" w:cs="仿宋_GB2312"/>
          <w:sz w:val="28"/>
          <w:szCs w:val="28"/>
          <w:highlight w:val="none"/>
          <w:lang w:val="en-US" w:eastAsia="zh-CN"/>
        </w:rPr>
        <w:t>不低于</w:t>
      </w:r>
      <w:r>
        <w:rPr>
          <w:rFonts w:hint="eastAsia" w:ascii="仿宋_GB2312" w:hAnsi="仿宋_GB2312" w:eastAsia="仿宋_GB2312" w:cs="仿宋_GB2312"/>
          <w:sz w:val="28"/>
          <w:szCs w:val="28"/>
          <w:highlight w:val="none"/>
        </w:rPr>
        <w:t>99.9%。</w:t>
      </w:r>
    </w:p>
    <w:p w14:paraId="2E1D0947">
      <w:pPr>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商业邮件误判率不高于0.01%。</w:t>
      </w:r>
    </w:p>
    <w:p w14:paraId="71FA2E0E">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系统支持并发用户数≥6500</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w:t>
      </w:r>
    </w:p>
    <w:p w14:paraId="06091E3A">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文件中转站≥20G，大文件上传下载支持断点续传，支持局域网传输加速，实现超大文件秒传。</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68"/>
        <w:gridCol w:w="5940"/>
      </w:tblGrid>
      <w:tr w14:paraId="7AEE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68" w:type="dxa"/>
            <w:tcMar>
              <w:top w:w="60" w:type="dxa"/>
              <w:left w:w="120" w:type="dxa"/>
              <w:bottom w:w="30" w:type="dxa"/>
              <w:right w:w="120" w:type="dxa"/>
            </w:tcMar>
          </w:tcPr>
          <w:p w14:paraId="250DACD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5940" w:type="dxa"/>
            <w:tcMar>
              <w:top w:w="60" w:type="dxa"/>
              <w:left w:w="120" w:type="dxa"/>
              <w:bottom w:w="30" w:type="dxa"/>
              <w:right w:w="120" w:type="dxa"/>
            </w:tcMar>
          </w:tcPr>
          <w:p w14:paraId="0D98106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具体要求</w:t>
            </w:r>
          </w:p>
        </w:tc>
      </w:tr>
      <w:tr w14:paraId="408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68" w:type="dxa"/>
            <w:tcMar>
              <w:top w:w="60" w:type="dxa"/>
              <w:left w:w="120" w:type="dxa"/>
              <w:bottom w:w="30" w:type="dxa"/>
              <w:right w:w="120" w:type="dxa"/>
            </w:tcMar>
            <w:vAlign w:val="center"/>
          </w:tcPr>
          <w:p w14:paraId="05ADC1C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VIP授权（高级功能）用户数</w:t>
            </w:r>
          </w:p>
        </w:tc>
        <w:tc>
          <w:tcPr>
            <w:tcW w:w="5940" w:type="dxa"/>
            <w:tcMar>
              <w:top w:w="60" w:type="dxa"/>
              <w:left w:w="120" w:type="dxa"/>
              <w:bottom w:w="30" w:type="dxa"/>
              <w:right w:w="120" w:type="dxa"/>
            </w:tcMar>
            <w:vAlign w:val="center"/>
          </w:tcPr>
          <w:p w14:paraId="66840E2D">
            <w:pPr>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6500人</w:t>
            </w:r>
          </w:p>
        </w:tc>
      </w:tr>
      <w:tr w14:paraId="0C03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68" w:type="dxa"/>
            <w:tcMar>
              <w:top w:w="60" w:type="dxa"/>
              <w:left w:w="120" w:type="dxa"/>
              <w:bottom w:w="30" w:type="dxa"/>
              <w:right w:w="120" w:type="dxa"/>
            </w:tcMar>
            <w:vAlign w:val="center"/>
          </w:tcPr>
          <w:p w14:paraId="6E4F2FC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国产化适配能力</w:t>
            </w:r>
          </w:p>
        </w:tc>
        <w:tc>
          <w:tcPr>
            <w:tcW w:w="5940" w:type="dxa"/>
            <w:tcMar>
              <w:top w:w="60" w:type="dxa"/>
              <w:left w:w="120" w:type="dxa"/>
              <w:bottom w:w="30" w:type="dxa"/>
              <w:right w:w="120" w:type="dxa"/>
            </w:tcMar>
            <w:vAlign w:val="center"/>
          </w:tcPr>
          <w:p w14:paraId="38991C1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国产化兼容并能无缝回退至</w:t>
            </w:r>
            <w:r>
              <w:rPr>
                <w:rFonts w:hint="eastAsia" w:ascii="仿宋_GB2312" w:hAnsi="仿宋_GB2312" w:eastAsia="仿宋_GB2312" w:cs="仿宋_GB2312"/>
                <w:sz w:val="28"/>
                <w:szCs w:val="28"/>
                <w:lang w:val="en-US" w:eastAsia="zh-CN"/>
              </w:rPr>
              <w:t>原VIP</w:t>
            </w:r>
            <w:r>
              <w:rPr>
                <w:rFonts w:hint="eastAsia" w:ascii="仿宋_GB2312" w:hAnsi="仿宋_GB2312" w:eastAsia="仿宋_GB2312" w:cs="仿宋_GB2312"/>
                <w:sz w:val="28"/>
                <w:szCs w:val="28"/>
              </w:rPr>
              <w:t>账号专业版</w:t>
            </w:r>
          </w:p>
        </w:tc>
      </w:tr>
      <w:tr w14:paraId="6C81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968" w:type="dxa"/>
            <w:tcMar>
              <w:top w:w="60" w:type="dxa"/>
              <w:left w:w="120" w:type="dxa"/>
              <w:bottom w:w="30" w:type="dxa"/>
              <w:right w:w="120" w:type="dxa"/>
            </w:tcMar>
            <w:vAlign w:val="center"/>
          </w:tcPr>
          <w:p w14:paraId="1CAA526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c>
          <w:tcPr>
            <w:tcW w:w="5940" w:type="dxa"/>
            <w:tcMar>
              <w:top w:w="60" w:type="dxa"/>
              <w:left w:w="120" w:type="dxa"/>
              <w:bottom w:w="30" w:type="dxa"/>
              <w:right w:w="120" w:type="dxa"/>
            </w:tcMar>
            <w:vAlign w:val="center"/>
          </w:tcPr>
          <w:p w14:paraId="623E2A03">
            <w:pPr>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年</w:t>
            </w:r>
          </w:p>
        </w:tc>
      </w:tr>
    </w:tbl>
    <w:p w14:paraId="2F0885C8">
      <w:pPr>
        <w:numPr>
          <w:ilvl w:val="0"/>
          <w:numId w:val="0"/>
        </w:numPr>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交付或实施的时间和地点</w:t>
      </w:r>
    </w:p>
    <w:p w14:paraId="262247FD">
      <w:pPr>
        <w:ind w:firstLine="560" w:firstLineChars="200"/>
        <w:jc w:val="left"/>
        <w:rPr>
          <w:rFonts w:hint="eastAsia" w:ascii="楷体_GB2312" w:hAnsi="楷体_GB2312" w:eastAsia="楷体_GB2312" w:cs="楷体_GB2312"/>
          <w:sz w:val="32"/>
          <w:szCs w:val="32"/>
        </w:rPr>
      </w:pPr>
      <w:r>
        <w:rPr>
          <w:rFonts w:hint="eastAsia" w:ascii="仿宋_GB2312" w:hAnsi="仿宋_GB2312" w:eastAsia="仿宋_GB2312" w:cs="仿宋_GB2312"/>
          <w:sz w:val="28"/>
          <w:szCs w:val="28"/>
        </w:rPr>
        <w:t>本次采购为已有SaaS服务的续期采购动作，须于2026年8月24日前完成交付。交付方式可采取线上方式。</w:t>
      </w:r>
    </w:p>
    <w:p w14:paraId="090614CE"/>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C378">
    <w:pPr>
      <w:pStyle w:val="4"/>
    </w:pPr>
    <w:r>
      <w:rPr>
        <w:sz w:val="18"/>
      </w:rPr>
      <w:pict>
        <v:group id="WEOffice_watermarkerGroup_1_16" o:spid="_x0000_s2066" o:spt="203" style="position:absolute;left:0pt;margin-left:-80pt;margin-top:-33.55pt;height:677.7pt;width:657.15pt;z-index:251659264;mso-width-relative:page;mso-height-relative:page;" coordorigin="483,483" coordsize="13143,13554">
          <o:lock v:ext="edit" aspectratio="f"/>
          <v:shape id="_x0000_s2050" o:spid="_x0000_s2050"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1" o:spid="_x0000_s2051"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2" o:spid="_x0000_s2052"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3" o:spid="_x0000_s2053"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4" o:spid="_x0000_s2054"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5" o:spid="_x0000_s2055"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6" o:spid="_x0000_s2056"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7" o:spid="_x0000_s2057"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8" o:spid="_x0000_s2058"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59" o:spid="_x0000_s2059"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0" o:spid="_x0000_s2060"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1" o:spid="_x0000_s2061"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2" o:spid="_x0000_s2062"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3" o:spid="_x0000_s2063"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4" o:spid="_x0000_s2064"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shape id="_x0000_s2065" o:spid="_x0000_s2065"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1 2026-06-17 15:43:16" style="font-family:Arial;font-size:17pt;v-text-align:center;"/>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2RBnssxNbr2BQo5n1PchzSnwuCU=" w:salt="e/VsrdRfQFgpQuzP0hXn9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C408F"/>
    <w:rsid w:val="5432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494"/>
      </w:tabs>
      <w:ind w:firstLine="360" w:firstLineChars="15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2026-06-12T07:08:00Z</dcterms:created>
  <dc:creator>adminstrator</dc:creator>
  <cp:lastModifiedBy>崔睿智</cp:lastModifiedBy>
  <dcterms:modified xsi:type="dcterms:W3CDTF">2026-06-17T07:44:48Z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eyJoZGlkIjoiYWY5NDE5ZWY0ZDkzZWViYjU1ZDFmZjUzYWI5MjMxM2QiLCJ1c2VySWQiOiIxNjIxNDg2MjUwIn0=</vt:lpwstr>
  </property>
  <property fmtid="{D5CDD505-2E9C-101B-9397-08002B2CF9AE}" pid="4" name="ICV">
    <vt:lpwstr>05101CF9A37342B6A14B105D30701D2C_12</vt:lpwstr>
  </property>
</Properties>
</file>