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67D42">
      <w:pPr>
        <w:pStyle w:val="3"/>
        <w:pageBreakBefore w:val="0"/>
        <w:widowControl w:val="0"/>
        <w:wordWrap/>
        <w:topLinePunct w:val="0"/>
        <w:bidi w:val="0"/>
        <w:adjustRightInd/>
        <w:snapToGrid/>
        <w:spacing w:before="0" w:after="0" w:line="336" w:lineRule="auto"/>
        <w:ind w:left="0" w:leftChars="0" w:right="0" w:rightChars="0" w:firstLine="640" w:firstLineChars="200"/>
        <w:jc w:val="both"/>
        <w:textAlignment w:val="auto"/>
        <w:rPr>
          <w:rFonts w:hint="default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（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一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）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设备参数</w:t>
      </w:r>
    </w:p>
    <w:p w14:paraId="0F851A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36" w:lineRule="auto"/>
        <w:ind w:left="0" w:leftChars="0" w:right="0" w:rightChars="0" w:firstLine="640" w:firstLineChars="200"/>
        <w:jc w:val="both"/>
        <w:textAlignment w:val="auto"/>
        <w:outlineLvl w:val="9"/>
        <w:rPr>
          <w:rFonts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</w:pPr>
      <w:r>
        <w:rPr>
          <w:rFonts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所采购设备具体包含：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4台数据中心服务器接入交换机</w:t>
      </w:r>
      <w:r>
        <w:rPr>
          <w:rFonts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设备。</w:t>
      </w:r>
    </w:p>
    <w:tbl>
      <w:tblPr>
        <w:tblStyle w:val="7"/>
        <w:tblW w:w="4787" w:type="pct"/>
        <w:tblInd w:w="19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6"/>
        <w:gridCol w:w="5217"/>
        <w:gridCol w:w="986"/>
      </w:tblGrid>
      <w:tr w14:paraId="67D0829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26FB845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设备1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5730AD8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color w:val="000000"/>
                <w:sz w:val="21"/>
                <w:szCs w:val="21"/>
                <w:u w:val="none"/>
                <w:lang w:val="en-US" w:eastAsia="zh-CN"/>
              </w:rPr>
              <w:t>数据中心服务器接入交换机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color w:val="000000"/>
                <w:sz w:val="21"/>
                <w:szCs w:val="21"/>
                <w:u w:val="none"/>
              </w:rPr>
              <w:t>设备</w:t>
            </w:r>
          </w:p>
        </w:tc>
        <w:tc>
          <w:tcPr>
            <w:tcW w:w="986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0D7EC09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i w:val="0"/>
                <w:strike w:val="0"/>
                <w:color w:val="000000"/>
                <w:sz w:val="21"/>
                <w:szCs w:val="21"/>
                <w:u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strike w:val="0"/>
                <w:color w:val="000000"/>
                <w:sz w:val="21"/>
                <w:szCs w:val="21"/>
                <w:u w:val="none"/>
                <w:shd w:val="clear" w:color="auto" w:fill="auto"/>
                <w:lang w:val="en-US" w:eastAsia="zh-CN"/>
              </w:rPr>
              <w:t>数量</w:t>
            </w:r>
          </w:p>
        </w:tc>
      </w:tr>
      <w:tr w14:paraId="385B28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790487F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  <w:highlight w:val="none"/>
                <w:u w:val="none"/>
                <w:lang w:bidi="ar"/>
              </w:rPr>
              <w:t>指标项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top"/>
          </w:tcPr>
          <w:p w14:paraId="03D1A7A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  <w:t>详细说明</w:t>
            </w:r>
          </w:p>
        </w:tc>
        <w:tc>
          <w:tcPr>
            <w:tcW w:w="986" w:type="dxa"/>
            <w:vMerge w:val="restart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E4EB8A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highlight w:val="none"/>
                <w:u w:val="none"/>
                <w:shd w:val="clear" w:color="auto" w:fill="auto"/>
                <w:lang w:val="en-US" w:eastAsia="zh-CN" w:bidi="ar"/>
              </w:rPr>
              <w:t>4台</w:t>
            </w:r>
          </w:p>
        </w:tc>
      </w:tr>
      <w:tr w14:paraId="59AE35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tcBorders>
              <w:tl2br w:val="nil"/>
              <w:tr2bl w:val="nil"/>
            </w:tcBorders>
            <w:noWrap w:val="0"/>
            <w:vAlign w:val="center"/>
          </w:tcPr>
          <w:p w14:paraId="70F8A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交换容量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3DE05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交换容量≥756Gbps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93AD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6990FA2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tcBorders>
              <w:tl2br w:val="nil"/>
              <w:tr2bl w:val="nil"/>
            </w:tcBorders>
            <w:noWrap w:val="0"/>
            <w:vAlign w:val="center"/>
          </w:tcPr>
          <w:p w14:paraId="18D4F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转发性能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44B97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转发性能≥25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Mpps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844F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1FA202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9F21B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硬件规格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7B9590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高度1U，固定接口交换机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DCB9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7CD95C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730D0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75B63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交流电源模块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2个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D889D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</w:pPr>
          </w:p>
        </w:tc>
      </w:tr>
      <w:tr w14:paraId="60CF65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B3B79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71ED3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模块化风扇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  <w:t>2个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7FC95E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bidi="ar"/>
              </w:rPr>
            </w:pPr>
          </w:p>
        </w:tc>
      </w:tr>
      <w:tr w14:paraId="261B4F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0A83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280C7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具备前后、后前风道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03E4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217BFD3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6619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7E708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工作环境温度0ºC～40ºC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6BCFE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5E525B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D289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软件规格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28B44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整机最大路由地址表≥32K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6300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5727649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743C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7C3A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整机最大ARP地址表≥32K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6A3BB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402570D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FBBC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64262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整机最大MAC地址表≥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4K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E2A2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42491C4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230B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端口配置要求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138A6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trike/>
                <w:color w:val="FF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10GE光接口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4个，光接口满配光模块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22E02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3AD774A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0407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73355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1000BASE-T口≥48个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9E48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1448ED5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D670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二层功能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147F0B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具备基于端口、基于协议、基于MAC的VLAN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08DF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4F51932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B8A9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11444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具备QinQ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7CC6A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6748C7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5D20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56230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具备DLDP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35B27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1854D4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29D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11487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具备动态MAC、静态MAC和黑洞MAC表项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944C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1CE9EFB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A0B3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1B4D4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具备二层虚拟接口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8379D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0CA056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84C9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三层功能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2A9860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支持RIP、OSPF、ISIS、BGP等IPv4动态路由协议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2909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3C57152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C516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234FE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支持RIPng、OSPFv3、ISISv6、BGP4+等IPv6动态路由协议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9BE1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51DDD04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9AE5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/>
            <w:vAlign w:val="center"/>
          </w:tcPr>
          <w:p w14:paraId="5521B7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 xml:space="preserve">支持IPv6 ND、支持路径MTU发现 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4E00A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09C3E06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BDC9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/>
            <w:vAlign w:val="center"/>
          </w:tcPr>
          <w:p w14:paraId="20037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 xml:space="preserve">支持GRE隧道 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/>
            <w:vAlign w:val="center"/>
          </w:tcPr>
          <w:p w14:paraId="18AA9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2B7CDF6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C1A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QoS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576E9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具备L2~L4协议包过滤功能和流分类功能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0713C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61D4E6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94AD3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13BA7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具备基于源MAC、目的MAC、源IP(IPv4/IPv6)地址、目的IP(IPv4/IPv6)地址、端口、协议、VLAN的流分类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0B89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5DD898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131F3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E2E88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具备ACL、CAR、优先级重新标记、队列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FC6A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0B14E5C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DA9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7C24B8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333333"/>
                <w:sz w:val="21"/>
                <w:szCs w:val="21"/>
                <w:highlight w:val="none"/>
                <w:u w:val="none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  <w:lang w:bidi="ar"/>
              </w:rPr>
              <w:t>支持端口收发报文进行限速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ED0A8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7E8AAD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EAAD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F7BC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具备流量整形功能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769B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7C0EFA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4797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可靠性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7F33F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具备VRRP 功能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769C36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318AB2F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3F574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1634C7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具备跨设备链路聚合（M-LAG、vPC、DRNI）技术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26AB7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4E85E4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41C48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52A49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具备STP/RSTP/MSTP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0AD6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688AC5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DB528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AEBC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支持横向堆叠虚拟化技术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FD5E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66B9E4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D4232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数据中心特性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615D1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trike/>
                <w:color w:val="FF0000"/>
                <w:sz w:val="21"/>
                <w:szCs w:val="21"/>
                <w:highlight w:val="none"/>
                <w:u w:val="none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  <w:t>具备BGP-EVPN特性，可进行跨数据中心大二层及分布式统一网关的部署</w:t>
            </w:r>
            <w:bookmarkEnd w:id="0"/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C547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292B78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ABB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50F81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支持Telemetry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C98F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1C2BB0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54ABA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安全性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0F9B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具备黑洞MAC、动态ARP检测、ARP防攻击功能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C2D88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39A7B6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2303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6E172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具备端口隔离，包含基于VLAN的隔离功能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72F59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675DB9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8E4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543197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具备AAA、Radius和TACACS认证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4AB737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6A4DE81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74B5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165BB8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具备DHCP Snooping功能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C37D6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5EB3A45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tcBorders>
              <w:tl2br w:val="nil"/>
              <w:tr2bl w:val="nil"/>
            </w:tcBorders>
            <w:noWrap w:val="0"/>
            <w:vAlign w:val="center"/>
          </w:tcPr>
          <w:p w14:paraId="2209C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虚拟化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44A3F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具备将多台设备虚拟为一台设备的功能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,即具备堆叠功能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0F1649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16BE477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4A5B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组播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CF59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支持IGMP Snooping、MLD Snooping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63EAD8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278F17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BDC1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298CC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支持IGMP、IGMP Proxy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51DE2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12DB37A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0584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配置和维护</w:t>
            </w: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3BA65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支持sFlow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78B4A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3E20C2A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344692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5A978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支持端口镜像，不小于4组；支持本地镜像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6374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38C5C40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F1C3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84D0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strike/>
                <w:color w:val="000000"/>
                <w:kern w:val="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  <w:t>支持远程端口镜像ERSPAN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24FD94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1C34EAC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BAD9F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0E3F20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支持SNMP V1/V2/V3、Telnet、RMON、SSH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38293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621477C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ABEA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46A4C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支持配置回滚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74450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  <w:tr w14:paraId="09BD78C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95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6105D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rPr>
                <w:rFonts w:hint="eastAsia" w:ascii="仿宋_GB2312" w:hAnsi="仿宋_GB2312" w:eastAsia="仿宋_GB2312" w:cs="仿宋_GB2312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217" w:type="dxa"/>
            <w:tcBorders>
              <w:tl2br w:val="nil"/>
              <w:tr2bl w:val="nil"/>
            </w:tcBorders>
            <w:noWrap w:val="0"/>
            <w:vAlign w:val="center"/>
          </w:tcPr>
          <w:p w14:paraId="1CB66C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  <w:t>支持零配置技术，配置自动下发</w:t>
            </w:r>
          </w:p>
        </w:tc>
        <w:tc>
          <w:tcPr>
            <w:tcW w:w="986" w:type="dxa"/>
            <w:vMerge w:val="continue"/>
            <w:tcBorders>
              <w:tl2br w:val="nil"/>
              <w:tr2bl w:val="nil"/>
            </w:tcBorders>
            <w:shd w:val="clear" w:color="auto" w:fill="FFFFFF" w:themeFill="background1"/>
            <w:noWrap w:val="0"/>
            <w:vAlign w:val="center"/>
          </w:tcPr>
          <w:p w14:paraId="1DE930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highlight w:val="none"/>
                <w:u w:val="none"/>
                <w:lang w:bidi="ar"/>
              </w:rPr>
            </w:pPr>
          </w:p>
        </w:tc>
      </w:tr>
    </w:tbl>
    <w:p w14:paraId="2F543F89">
      <w:pPr>
        <w:pStyle w:val="3"/>
        <w:pageBreakBefore w:val="0"/>
        <w:widowControl w:val="0"/>
        <w:pBdr>
          <w:bottom w:val="none" w:color="auto" w:sz="0" w:space="0"/>
        </w:pBdr>
        <w:wordWrap/>
        <w:topLinePunct w:val="0"/>
        <w:bidi w:val="0"/>
        <w:adjustRightInd/>
        <w:snapToGrid/>
        <w:spacing w:before="0" w:after="0" w:line="336" w:lineRule="auto"/>
        <w:ind w:left="0" w:leftChars="0" w:right="0" w:rightChars="0" w:firstLine="640" w:firstLineChars="200"/>
        <w:jc w:val="both"/>
        <w:textAlignment w:val="auto"/>
        <w:rPr>
          <w:rFonts w:hint="default" w:ascii="黑体" w:hAnsi="黑体" w:eastAsia="黑体" w:cs="Times New Roman"/>
          <w:b w:val="0"/>
          <w:bCs w:val="0"/>
          <w:i w:val="0"/>
          <w:iCs w:val="0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（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二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）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服务要求</w:t>
      </w:r>
    </w:p>
    <w:p w14:paraId="01F1D598">
      <w:pPr>
        <w:pageBreakBefore w:val="0"/>
        <w:widowControl w:val="0"/>
        <w:wordWrap/>
        <w:topLinePunct w:val="0"/>
        <w:bidi w:val="0"/>
        <w:adjustRightInd/>
        <w:snapToGrid/>
        <w:spacing w:before="0" w:after="0" w:line="336" w:lineRule="auto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1.送货、安装服务</w:t>
      </w:r>
    </w:p>
    <w:p w14:paraId="4438A14C">
      <w:pPr>
        <w:pStyle w:val="2"/>
        <w:snapToGrid/>
        <w:spacing w:before="0" w:line="336" w:lineRule="auto"/>
        <w:ind w:left="0" w:leftChars="0" w:right="0" w:rightChars="0" w:firstLine="640" w:firstLineChars="200"/>
        <w:jc w:val="both"/>
        <w:outlineLvl w:val="9"/>
        <w:rPr>
          <w:rFonts w:hint="default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供应商接到山航正式送货通知后，于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10</w:t>
      </w:r>
      <w:r>
        <w:rPr>
          <w:rFonts w:hint="default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个工作日内将交换机、配套原厂光模块、机架附件、赠送辅材等全部货品送达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山航</w:t>
      </w:r>
      <w:r>
        <w:rPr>
          <w:rFonts w:hint="default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指定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位置</w:t>
      </w:r>
      <w:r>
        <w:rPr>
          <w:rFonts w:hint="default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；货物运输、卸货费用全部由供应商承担，到货后安排原厂技术工程师上门完成上架安装、设备上电、基础配置调试、链路连通测试等工作，确保设备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可按要求</w:t>
      </w:r>
      <w:r>
        <w:rPr>
          <w:rFonts w:hint="default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接入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山航现网</w:t>
      </w:r>
      <w:r>
        <w:rPr>
          <w:rFonts w:hint="default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。</w:t>
      </w:r>
    </w:p>
    <w:p w14:paraId="0BC919F6">
      <w:pPr>
        <w:pageBreakBefore w:val="0"/>
        <w:widowControl w:val="0"/>
        <w:wordWrap/>
        <w:topLinePunct w:val="0"/>
        <w:bidi w:val="0"/>
        <w:adjustRightInd/>
        <w:snapToGrid/>
        <w:spacing w:before="0" w:after="0" w:line="336" w:lineRule="auto"/>
        <w:ind w:left="0" w:leftChars="0" w:right="0" w:rightChars="0" w:firstLine="640" w:firstLineChars="200"/>
        <w:jc w:val="both"/>
        <w:textAlignment w:val="auto"/>
        <w:outlineLvl w:val="1"/>
        <w:rPr>
          <w:rFonts w:hint="default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2.设备质保服务</w:t>
      </w:r>
    </w:p>
    <w:p w14:paraId="61B3E172">
      <w:pPr>
        <w:pageBreakBefore w:val="0"/>
        <w:widowControl w:val="0"/>
        <w:wordWrap/>
        <w:topLinePunct w:val="0"/>
        <w:bidi w:val="0"/>
        <w:adjustRightInd/>
        <w:snapToGrid/>
        <w:spacing w:before="0" w:after="0" w:line="336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</w:pP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设备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eastAsia="zh-CN"/>
        </w:rPr>
        <w:t>（含赠送件）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质保期为硬件原厂商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年质保服务；质保期内免费提供原厂硬件质保服务、软件升级服务。质保期内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设备出现故障的，应2小时到达现场，6小时修复。如不能及时修复的，应12小时内提供备用设备。</w:t>
      </w:r>
    </w:p>
    <w:p w14:paraId="4614AA4D">
      <w:pPr>
        <w:pageBreakBefore w:val="0"/>
        <w:widowControl w:val="0"/>
        <w:wordWrap/>
        <w:topLinePunct w:val="0"/>
        <w:bidi w:val="0"/>
        <w:adjustRightInd/>
        <w:snapToGrid/>
        <w:spacing w:before="0" w:after="0" w:line="336" w:lineRule="auto"/>
        <w:ind w:left="0" w:leftChars="0" w:right="0" w:rightChars="0" w:firstLine="640" w:firstLineChars="200"/>
        <w:jc w:val="both"/>
        <w:textAlignment w:val="auto"/>
        <w:outlineLvl w:val="1"/>
        <w:rPr>
          <w:rFonts w:hint="eastAsia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3.备机/备件服务</w:t>
      </w:r>
    </w:p>
    <w:p w14:paraId="50BE43B3">
      <w:pPr>
        <w:snapToGrid/>
        <w:spacing w:before="0" w:after="0" w:line="336" w:lineRule="auto"/>
        <w:ind w:left="0" w:leftChars="0" w:right="0" w:rightChars="0" w:firstLine="640" w:firstLineChars="200"/>
        <w:jc w:val="both"/>
        <w:outlineLvl w:val="9"/>
        <w:rPr>
          <w:rFonts w:hint="default" w:ascii="仿宋_GB2312" w:hAnsi="仿宋_GB2312" w:eastAsia="仿宋_GB2312"/>
          <w:b w:val="0"/>
          <w:bCs w:val="0"/>
          <w:i w:val="0"/>
          <w:i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  <w:lang w:eastAsia="zh-CN"/>
        </w:rPr>
        <w:t>供应商常备库存备货，针对本项目采购交换机机型，常备同型号整机备用交换机不少于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  <w:lang w:eastAsia="zh-CN"/>
        </w:rPr>
        <w:t>台、常用规格原厂光模块、电源、风扇等易损备件足量储备；对应型号设备原厂停产后，供应商持续保障备品备件供货及维修服务。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  <w:lang w:val="en-US" w:eastAsia="zh-CN"/>
        </w:rPr>
        <w:tab/>
      </w:r>
    </w:p>
    <w:p w14:paraId="1E4CB9FD">
      <w:pPr>
        <w:pStyle w:val="2"/>
        <w:snapToGrid/>
        <w:spacing w:before="0" w:line="336" w:lineRule="auto"/>
        <w:ind w:left="0" w:leftChars="0" w:right="0" w:rightChars="0" w:firstLine="640" w:firstLineChars="200"/>
        <w:jc w:val="both"/>
        <w:outlineLvl w:val="1"/>
        <w:rPr>
          <w:rFonts w:hint="default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4.日常巡检</w:t>
      </w:r>
    </w:p>
    <w:p w14:paraId="3EB459E0">
      <w:pPr>
        <w:pStyle w:val="2"/>
        <w:snapToGrid/>
        <w:spacing w:before="0" w:line="336" w:lineRule="auto"/>
        <w:ind w:left="0" w:leftChars="0" w:right="0" w:rightChars="0" w:firstLine="640" w:firstLineChars="200"/>
        <w:jc w:val="both"/>
        <w:outlineLvl w:val="9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kern w:val="2"/>
          <w:sz w:val="32"/>
          <w:szCs w:val="32"/>
          <w:u w:val="none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kern w:val="2"/>
          <w:sz w:val="32"/>
          <w:szCs w:val="32"/>
          <w:u w:val="none"/>
          <w:lang w:val="en-US" w:eastAsia="zh-CN"/>
        </w:rPr>
        <w:t>提供标准“4次/年”的对系统主动预防性巡检服务。在巡检服务结束后，通过对系统运行的环境、系统软硬件运行情况等进行分析，提出系统风险分析以及预防建议，提供《巡检服务报告》。</w:t>
      </w:r>
    </w:p>
    <w:p w14:paraId="4C391FE2">
      <w:pPr>
        <w:pStyle w:val="2"/>
        <w:snapToGrid/>
        <w:spacing w:before="0" w:line="336" w:lineRule="auto"/>
        <w:ind w:left="0" w:leftChars="0" w:right="0" w:rightChars="0" w:firstLine="640" w:firstLineChars="200"/>
        <w:jc w:val="both"/>
        <w:outlineLvl w:val="1"/>
        <w:rPr>
          <w:rFonts w:hint="default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Times New Roman"/>
          <w:b w:val="0"/>
          <w:bCs w:val="0"/>
          <w:i w:val="0"/>
          <w:iCs w:val="0"/>
          <w:strike w:val="0"/>
          <w:color w:val="000000"/>
          <w:kern w:val="2"/>
          <w:sz w:val="32"/>
          <w:szCs w:val="32"/>
          <w:u w:val="none"/>
          <w:lang w:val="en-US" w:eastAsia="zh-CN"/>
        </w:rPr>
        <w:t>5.培训服务</w:t>
      </w:r>
    </w:p>
    <w:p w14:paraId="5A6B85A4">
      <w:pPr>
        <w:snapToGrid/>
        <w:spacing w:before="0" w:after="0" w:line="336" w:lineRule="auto"/>
        <w:ind w:left="0" w:leftChars="0" w:right="0" w:rightChars="0" w:firstLine="640" w:firstLineChars="200"/>
        <w:jc w:val="both"/>
        <w:outlineLvl w:val="9"/>
        <w:rPr>
          <w:rFonts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</w:rPr>
      </w:pPr>
      <w:r>
        <w:rPr>
          <w:rFonts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</w:rPr>
        <w:t>供应商应当在山航指定时间和地点,对山航系统维护人员提供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  <w:lang w:val="en-US" w:eastAsia="zh-CN"/>
        </w:rPr>
        <w:t>4</w:t>
      </w:r>
      <w:r>
        <w:rPr>
          <w:rFonts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</w:rPr>
        <w:t>次每次不低于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  <w:lang w:val="en-US" w:eastAsia="zh-CN"/>
        </w:rPr>
        <w:t>1</w:t>
      </w:r>
      <w:r>
        <w:rPr>
          <w:rFonts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sz w:val="32"/>
          <w:szCs w:val="32"/>
          <w:u w:val="none"/>
        </w:rPr>
        <w:t>小时的免费培训，内容包括但不限于网络设备、网络安全设备基础知识，基本原理、常用命令、日常维护、注意问题等内容。</w:t>
      </w:r>
    </w:p>
    <w:p w14:paraId="13E873C7">
      <w:pPr>
        <w:pStyle w:val="3"/>
        <w:pageBreakBefore w:val="0"/>
        <w:widowControl w:val="0"/>
        <w:pBdr>
          <w:bottom w:val="none" w:color="auto" w:sz="0" w:space="0"/>
        </w:pBdr>
        <w:wordWrap/>
        <w:topLinePunct w:val="0"/>
        <w:bidi w:val="0"/>
        <w:adjustRightInd/>
        <w:snapToGrid/>
        <w:spacing w:before="0" w:after="0" w:line="336" w:lineRule="auto"/>
        <w:ind w:left="0" w:leftChars="0" w:right="0" w:rightChars="0" w:firstLine="640" w:firstLineChars="200"/>
        <w:jc w:val="both"/>
        <w:textAlignment w:val="auto"/>
        <w:rPr>
          <w:rFonts w:hint="eastAsia" w:ascii="黑体" w:hAnsi="黑体" w:eastAsia="黑体" w:cs="Times New Roman"/>
          <w:b w:val="0"/>
          <w:bCs w:val="0"/>
          <w:i w:val="0"/>
          <w:iCs w:val="0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（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四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</w:rPr>
        <w:t>）</w:t>
      </w:r>
      <w:r>
        <w:rPr>
          <w:rFonts w:hint="eastAsia" w:ascii="黑体" w:hAnsi="黑体" w:eastAsia="黑体" w:cs="Times New Roman"/>
          <w:b w:val="0"/>
          <w:bCs w:val="0"/>
          <w:i w:val="0"/>
          <w:iCs w:val="0"/>
          <w:strike w:val="0"/>
          <w:color w:val="000000"/>
          <w:sz w:val="32"/>
          <w:szCs w:val="32"/>
          <w:u w:val="none"/>
          <w:lang w:val="en-US" w:eastAsia="zh-CN"/>
        </w:rPr>
        <w:t>验收标准</w:t>
      </w:r>
    </w:p>
    <w:p w14:paraId="1D0BD130">
      <w:pPr>
        <w:pStyle w:val="2"/>
        <w:snapToGrid/>
        <w:spacing w:before="0" w:line="336" w:lineRule="auto"/>
        <w:ind w:left="0" w:leftChars="0" w:right="0" w:rightChars="0" w:firstLine="640" w:firstLineChars="200"/>
        <w:jc w:val="both"/>
        <w:outlineLvl w:val="9"/>
      </w:pP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kern w:val="2"/>
          <w:sz w:val="32"/>
          <w:szCs w:val="32"/>
          <w:u w:val="none"/>
          <w:lang w:val="en-US" w:eastAsia="zh-CN"/>
        </w:rPr>
        <w:t>交换机硬件参数、端口规格、性能指标完全响应采购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kern w:val="2"/>
          <w:sz w:val="32"/>
          <w:szCs w:val="32"/>
          <w:u w:val="none"/>
          <w:lang w:val="en-US" w:eastAsia="zh-CN"/>
        </w:rPr>
        <w:t>需求</w:t>
      </w:r>
      <w:r>
        <w:rPr>
          <w:rFonts w:hint="default" w:ascii="仿宋_GB2312" w:hAnsi="仿宋_GB2312" w:eastAsia="仿宋_GB2312" w:cs="仿宋_GB2312"/>
          <w:b w:val="0"/>
          <w:bCs w:val="0"/>
          <w:i w:val="0"/>
          <w:iCs w:val="0"/>
          <w:strike w:val="0"/>
          <w:color w:val="000000"/>
          <w:spacing w:val="0"/>
          <w:w w:val="100"/>
          <w:kern w:val="2"/>
          <w:sz w:val="32"/>
          <w:szCs w:val="32"/>
          <w:u w:val="none"/>
          <w:lang w:val="en-US" w:eastAsia="zh-CN"/>
        </w:rPr>
        <w:t>，整机通电运行稳定，各项路由/交换协议、VLAN、链路聚合等业务功能调试正常，可平稳接入山航现有网络架构。</w:t>
      </w: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orHAns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orEastAsia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B0794">
    <w:pPr>
      <w:pStyle w:val="5"/>
    </w:pPr>
    <w:r>
      <w:rPr>
        <w:sz w:val="18"/>
      </w:rPr>
      <w:pict>
        <v:group id="WEOffice_watermarkerGroup_1_16" o:spid="_x0000_s2066" o:spt="203" style="position:absolute;left:0pt;margin-left:-80pt;margin-top:-33.55pt;height:677.7pt;width:657.15pt;z-index:251659264;mso-width-relative:page;mso-height-relative:page;" coordorigin="483,483" coordsize="13143,13554">
          <o:lock v:ext="edit" aspectratio="f"/>
          <v:shape id="_x0000_s2050" o:spid="_x0000_s2050" o:spt="136" type="#_x0000_t136" style="position:absolute;left:483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1" o:spid="_x0000_s2051" o:spt="136" type="#_x0000_t136" style="position:absolute;left:3404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2" o:spid="_x0000_s2052" o:spt="136" type="#_x0000_t136" style="position:absolute;left:6325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3" o:spid="_x0000_s2053" o:spt="136" type="#_x0000_t136" style="position:absolute;left:9246;top:483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4" o:spid="_x0000_s2054" o:spt="136" type="#_x0000_t136" style="position:absolute;left:483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5" o:spid="_x0000_s2055" o:spt="136" type="#_x0000_t136" style="position:absolute;left:3404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6" o:spid="_x0000_s2056" o:spt="136" type="#_x0000_t136" style="position:absolute;left:6325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7" o:spid="_x0000_s2057" o:spt="136" type="#_x0000_t136" style="position:absolute;left:9246;top:4874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8" o:spid="_x0000_s2058" o:spt="136" type="#_x0000_t136" style="position:absolute;left:483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59" o:spid="_x0000_s2059" o:spt="136" type="#_x0000_t136" style="position:absolute;left:3404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60" o:spid="_x0000_s2060" o:spt="136" type="#_x0000_t136" style="position:absolute;left:6325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61" o:spid="_x0000_s2061" o:spt="136" type="#_x0000_t136" style="position:absolute;left:9246;top:9266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62" o:spid="_x0000_s2062" o:spt="136" type="#_x0000_t136" style="position:absolute;left:483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63" o:spid="_x0000_s2063" o:spt="136" type="#_x0000_t136" style="position:absolute;left:3404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64" o:spid="_x0000_s2064" o:spt="136" type="#_x0000_t136" style="position:absolute;left:6325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  <v:shape id="_x0000_s2065" o:spid="_x0000_s2065" o:spt="136" type="#_x0000_t136" style="position:absolute;left:9246;top:13657;height:380;width:4380;rotation:-2949120f;" fillcolor="#D9D9D9" filled="t" stroked="f" coordsize="21600,21600" adj="10800">
            <v:path/>
            <v:fill on="t" opacity="32768f" focussize="0,0"/>
            <v:stroke on="f"/>
            <v:imagedata o:title=""/>
            <o:lock v:ext="edit" aspectratio="t"/>
            <v:textpath on="t" fitpath="t" trim="t" xscale="f" string="022261 2026-06-25 09:22:10" style="font-family:Arial;font-size:17pt;v-text-align:center;"/>
          </v:shape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dit="trackedChanges" w:enforcement="1" w:cryptProviderType="rsaFull" w:cryptAlgorithmClass="hash" w:cryptAlgorithmType="typeAny" w:cryptAlgorithmSid="4" w:cryptSpinCount="0" w:hash="4QOUkkl/3nmS1qt8/6edAHyQ6KE=" w:salt="M7tBYkgTL6cybZzfMsrzG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B64485"/>
    <w:rsid w:val="3B0A7068"/>
    <w:rsid w:val="58FB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before="60" w:after="60" w:line="312" w:lineRule="auto"/>
      <w:jc w:val="left"/>
    </w:pPr>
    <w:rPr>
      <w:rFonts w:ascii="minorHAnsi" w:hAnsi="minorHAnsi" w:eastAsia="minorEastAsia" w:cstheme="minorBidi"/>
      <w:color w:val="333333"/>
      <w:kern w:val="2"/>
      <w:sz w:val="22"/>
      <w:szCs w:val="22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tabs>
        <w:tab w:val="right" w:leader="dot" w:pos="8296"/>
      </w:tabs>
      <w:spacing w:line="360" w:lineRule="auto"/>
      <w:jc w:val="center"/>
    </w:pPr>
    <w:rPr>
      <w:rFonts w:ascii="华文细黑" w:hAnsi="华文细黑" w:eastAsia="华文细黑" w:cs="宋体"/>
      <w:b/>
      <w:bCs/>
      <w:kern w:val="44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  <customShpInfo spid="_x0000_s2057"/>
    <customShpInfo spid="_x0000_s2058"/>
    <customShpInfo spid="_x0000_s2059"/>
    <customShpInfo spid="_x0000_s2060"/>
    <customShpInfo spid="_x0000_s2061"/>
    <customShpInfo spid="_x0000_s2062"/>
    <customShpInfo spid="_x0000_s2063"/>
    <customShpInfo spid="_x0000_s2064"/>
    <customShpInfo spid="_x0000_s2065"/>
    <customShpInfo spid="_x0000_s2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1249</Words>
  <Characters>1528</Characters>
  <Lines>0</Lines>
  <Paragraphs>0</Paragraphs>
  <TotalTime>7</TotalTime>
  <ScaleCrop>false</ScaleCrop>
  <LinksUpToDate>false</LinksUpToDate>
  <CharactersWithSpaces>1538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2026-06-08T01:52:00Z</dcterms:created>
  <dc:creator>李硕</dc:creator>
  <cp:lastModifiedBy>崔睿智</cp:lastModifiedBy>
  <dcterms:modified xsi:type="dcterms:W3CDTF">2026-06-25T01:22:15Z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eyJoZGlkIjoiNjU3OTgzYzlkYmMzN2FjY2ZkMzU3ZjRmMzcyYTMwMTUiLCJ1c2VySWQiOiIxNjIxNzgzMTU5In0=</vt:lpwstr>
  </property>
  <property fmtid="{D5CDD505-2E9C-101B-9397-08002B2CF9AE}" pid="4" name="ICV">
    <vt:lpwstr>88953ADFE5554E1AA4FEF563C47861F7_12</vt:lpwstr>
  </property>
</Properties>
</file>