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C51B">
      <w:pPr>
        <w:widowControl/>
        <w:snapToGrid/>
        <w:spacing w:line="760" w:lineRule="exact"/>
        <w:ind w:left="0" w:leftChars="0" w:right="0" w:rightChars="0" w:firstLine="0" w:firstLineChars="0"/>
        <w:jc w:val="center"/>
        <w:rPr>
          <w:rFonts w:hint="eastAsia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color w:val="000000"/>
          <w:sz w:val="44"/>
          <w:szCs w:val="44"/>
          <w:lang w:val="en-US" w:eastAsia="zh-CN"/>
        </w:rPr>
        <w:t>设备参数要求</w:t>
      </w:r>
    </w:p>
    <w:p w14:paraId="46FC96CB">
      <w:pPr>
        <w:widowControl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所涉及核心交换机及接入交换机设备参数如下：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162"/>
        <w:gridCol w:w="5424"/>
      </w:tblGrid>
      <w:tr w14:paraId="32E0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Align w:val="center"/>
          </w:tcPr>
          <w:p w14:paraId="06A6CE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162" w:type="dxa"/>
            <w:vAlign w:val="center"/>
          </w:tcPr>
          <w:p w14:paraId="2B8A50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424" w:type="dxa"/>
            <w:vAlign w:val="center"/>
          </w:tcPr>
          <w:p w14:paraId="287EFC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关键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技术参数</w:t>
            </w:r>
          </w:p>
        </w:tc>
      </w:tr>
      <w:tr w14:paraId="6D79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Align w:val="center"/>
          </w:tcPr>
          <w:p w14:paraId="0DE1F0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核心交换机</w:t>
            </w:r>
          </w:p>
        </w:tc>
        <w:tc>
          <w:tcPr>
            <w:tcW w:w="1162" w:type="dxa"/>
            <w:vAlign w:val="center"/>
          </w:tcPr>
          <w:p w14:paraId="5A58D8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5424" w:type="dxa"/>
            <w:vAlign w:val="center"/>
          </w:tcPr>
          <w:p w14:paraId="336CDBEB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配置支持不少于48个千兆自适应以太电口，4个SFP+万兆光口（配置4个万兆光模块），具备1个Slot扩容插卡槽位，配置双电源，双风扇模块；</w:t>
            </w:r>
          </w:p>
          <w:p w14:paraId="6499402A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交换容量≥750Gbps，包转发率≥250Mpps；</w:t>
            </w:r>
          </w:p>
          <w:p w14:paraId="7CAC7327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支持IPv4静态路由、RIP、OSPF，支持IPv6静态路由、OSPFv3及加密；</w:t>
            </w:r>
          </w:p>
          <w:p w14:paraId="7284B054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支持集群或堆叠多虚一技术，实现单一界面管理多台设备；</w:t>
            </w:r>
          </w:p>
          <w:p w14:paraId="2783E8E6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支持SNMP V1/V2/V3、Telnet、RMON、SSH功能；</w:t>
            </w:r>
          </w:p>
          <w:p w14:paraId="0A6ED96D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支持跨设备链路聚合技术；</w:t>
            </w:r>
          </w:p>
          <w:p w14:paraId="3BE98651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可扩展防火墙安全插卡，提供官网截图证明；</w:t>
            </w:r>
          </w:p>
          <w:p w14:paraId="659D72D3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需与现有园区网SDN系统对接，并被SDN系统、网管平台纳管；</w:t>
            </w:r>
          </w:p>
          <w:p w14:paraId="46510F52">
            <w:pPr>
              <w:pStyle w:val="7"/>
              <w:numPr>
                <w:ilvl w:val="0"/>
                <w:numId w:val="0"/>
              </w:numPr>
              <w:ind w:left="16" w:leftChars="0" w:hanging="16" w:hangingChars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3年原厂质保维保及技术支持服务。</w:t>
            </w:r>
          </w:p>
        </w:tc>
      </w:tr>
      <w:tr w14:paraId="08FC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Align w:val="center"/>
          </w:tcPr>
          <w:p w14:paraId="285418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接入交换机</w:t>
            </w:r>
          </w:p>
        </w:tc>
        <w:tc>
          <w:tcPr>
            <w:tcW w:w="1162" w:type="dxa"/>
            <w:vAlign w:val="center"/>
          </w:tcPr>
          <w:p w14:paraId="62AB14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5424" w:type="dxa"/>
            <w:vAlign w:val="center"/>
          </w:tcPr>
          <w:p w14:paraId="0522AF6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交换容量≥500Gbps，包转发率≥200Mpps；</w:t>
            </w:r>
          </w:p>
          <w:p w14:paraId="214460ED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配置千兆电口≥48个，SFP+万兆光口≥4个，配置4个万兆光模块，双电源；</w:t>
            </w:r>
          </w:p>
          <w:p w14:paraId="66579D53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支持IPv4静态路由、RIP、OSPF，支持IPv6静态路由、OSPFv3；</w:t>
            </w:r>
          </w:p>
          <w:p w14:paraId="0BD297A4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支持集群或堆叠多虚一技术，实现单一界面管理多台设备；</w:t>
            </w:r>
          </w:p>
          <w:p w14:paraId="5327F1A2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支持SNMP V1/V2/V3、Telnet、RMON、SSH功能；</w:t>
            </w:r>
          </w:p>
          <w:p w14:paraId="009A6B7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需与现有园区网SDN系统对接，并被SDN系统、网管平台纳管；</w:t>
            </w:r>
          </w:p>
          <w:p w14:paraId="610A5E36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3年原厂质保维保及技术支持服务。</w:t>
            </w:r>
          </w:p>
        </w:tc>
      </w:tr>
    </w:tbl>
    <w:p w14:paraId="1B98CBB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1DF6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7 11:07:04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W/ajecaIokRDm7trCrQJgSvo+sI=" w:salt="xqRpHCAhRVatVfWjRVhZD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40695"/>
    <w:rsid w:val="731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2026-05-06T05:28:00Z</dcterms:created>
  <dc:creator>adminstrator</dc:creator>
  <cp:lastModifiedBy>崔睿智</cp:lastModifiedBy>
  <dcterms:modified xsi:type="dcterms:W3CDTF">2026-05-07T03:07:11Z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eyJoZGlkIjoiYWY5NDE5ZWY0ZDkzZWViYjU1ZDFmZjUzYWI5MjMxM2QiLCJ1c2VySWQiOiIxNjIxNDg2MjUwIn0=</vt:lpwstr>
  </property>
  <property fmtid="{D5CDD505-2E9C-101B-9397-08002B2CF9AE}" pid="4" name="ICV">
    <vt:lpwstr>21F412F5323C4378AB78D727D8070E3D_12</vt:lpwstr>
  </property>
</Properties>
</file>