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892F9">
      <w:pPr>
        <w:jc w:val="center"/>
        <w:rPr>
          <w:rFonts w:ascii="黑体" w:hAnsi="黑体" w:eastAsia="黑体"/>
          <w:b/>
          <w:color w:val="000000"/>
          <w:sz w:val="36"/>
        </w:rPr>
      </w:pPr>
      <w:bookmarkStart w:id="0" w:name="_GoBack"/>
      <w:bookmarkEnd w:id="0"/>
      <w:r>
        <w:rPr>
          <w:rFonts w:ascii="黑体" w:hAnsi="黑体" w:eastAsia="黑体"/>
          <w:b/>
          <w:color w:val="000000"/>
          <w:sz w:val="36"/>
        </w:rPr>
        <w:t>山航食品公司四害消杀项目采购需求</w:t>
      </w:r>
    </w:p>
    <w:p w14:paraId="08BAC72C">
      <w:pPr>
        <w:jc w:val="center"/>
        <w:rPr>
          <w:rFonts w:ascii="黑体" w:hAnsi="黑体" w:eastAsia="黑体"/>
          <w:b/>
          <w:color w:val="000000"/>
          <w:sz w:val="36"/>
        </w:rPr>
      </w:pPr>
    </w:p>
    <w:p w14:paraId="03B15201">
      <w:pPr>
        <w:pStyle w:val="3"/>
        <w:jc w:val="both"/>
      </w:pPr>
      <w:r>
        <w:rPr>
          <w:rFonts w:ascii="黑体" w:hAnsi="黑体" w:eastAsia="黑体"/>
          <w:b/>
          <w:color w:val="000000"/>
          <w:sz w:val="30"/>
        </w:rPr>
        <w:t>一、项目概况</w:t>
      </w:r>
    </w:p>
    <w:p w14:paraId="070B4871">
      <w:pPr>
        <w:spacing w:line="360" w:lineRule="auto"/>
        <w:ind w:firstLine="480"/>
        <w:jc w:val="both"/>
      </w:pPr>
      <w:r>
        <w:rPr>
          <w:rFonts w:ascii="宋体" w:hAnsi="宋体" w:eastAsia="宋体"/>
          <w:color w:val="000000"/>
          <w:sz w:val="24"/>
        </w:rPr>
        <w:t>本项目为山东金平航空食品有限公司生产办公园区四害消杀防治服务，覆盖园区内综合楼、辅助楼、生产楼公共区域、生产车间、仓库、垃圾房及外围绿化带等区域，主要开展鼠类、蚊虫、蝇类、蜚蠊（蟑螂）等病媒生物综合防制，保障园区环境卫生持续符合国家卫生防疫及食品生产相关标准要求。</w:t>
      </w:r>
    </w:p>
    <w:p w14:paraId="235EAE32">
      <w:pPr>
        <w:pStyle w:val="4"/>
        <w:jc w:val="both"/>
      </w:pPr>
      <w:r>
        <w:rPr>
          <w:rFonts w:ascii="黑体" w:hAnsi="黑体" w:eastAsia="黑体"/>
          <w:b/>
          <w:color w:val="000000"/>
          <w:sz w:val="26"/>
        </w:rPr>
        <w:t>（一）项目基本信息</w:t>
      </w:r>
    </w:p>
    <w:p w14:paraId="6591563F">
      <w:pPr>
        <w:spacing w:line="360" w:lineRule="auto"/>
        <w:ind w:left="480"/>
        <w:jc w:val="both"/>
      </w:pPr>
      <w:r>
        <w:rPr>
          <w:rFonts w:ascii="宋体" w:hAnsi="宋体" w:eastAsia="宋体"/>
          <w:color w:val="000000"/>
          <w:sz w:val="24"/>
        </w:rPr>
        <w:t>1. 服务单位：山东金平航空食品有限公司</w:t>
      </w:r>
    </w:p>
    <w:p w14:paraId="39176145">
      <w:pPr>
        <w:spacing w:line="360" w:lineRule="auto"/>
        <w:ind w:left="480"/>
        <w:jc w:val="both"/>
      </w:pPr>
      <w:r>
        <w:rPr>
          <w:rFonts w:ascii="宋体" w:hAnsi="宋体" w:eastAsia="宋体"/>
          <w:color w:val="000000"/>
          <w:sz w:val="24"/>
        </w:rPr>
        <w:t>2. 项目地点：济南机场新建次三路与支二路交叉口西南角（总规划占地面积40091平方米，其中生产场区8991平方米、综合楼2100平方米、辅助楼1800平方米）</w:t>
      </w:r>
    </w:p>
    <w:p w14:paraId="3DBE2048">
      <w:pPr>
        <w:spacing w:line="360" w:lineRule="auto"/>
        <w:ind w:left="480"/>
        <w:jc w:val="both"/>
      </w:pPr>
      <w:r>
        <w:rPr>
          <w:rFonts w:ascii="宋体" w:hAnsi="宋体" w:eastAsia="宋体"/>
          <w:color w:val="000000"/>
          <w:sz w:val="24"/>
        </w:rPr>
        <w:t>3. 服务范围：综合楼公共区域、辅助楼公共区域、生产楼公共区域、生产车间、仓库、垃圾房及外围绿化带等本文件列明的全部区域。</w:t>
      </w:r>
    </w:p>
    <w:p w14:paraId="0787CC16">
      <w:pPr>
        <w:spacing w:line="360" w:lineRule="auto"/>
        <w:ind w:left="480"/>
        <w:jc w:val="both"/>
      </w:pPr>
      <w:r>
        <w:rPr>
          <w:rFonts w:ascii="宋体" w:hAnsi="宋体" w:eastAsia="宋体"/>
          <w:color w:val="000000"/>
          <w:sz w:val="24"/>
        </w:rPr>
        <w:t>4. 服务期限：三年，具体起止时间以合同约定为准。</w:t>
      </w:r>
    </w:p>
    <w:p w14:paraId="61A6BE6B">
      <w:pPr>
        <w:pStyle w:val="4"/>
        <w:jc w:val="both"/>
      </w:pPr>
      <w:r>
        <w:rPr>
          <w:rFonts w:ascii="黑体" w:hAnsi="黑体" w:eastAsia="黑体"/>
          <w:b/>
          <w:color w:val="000000"/>
          <w:sz w:val="26"/>
        </w:rPr>
        <w:t>（二）项目立项依据</w:t>
      </w:r>
    </w:p>
    <w:p w14:paraId="59D4A287">
      <w:pPr>
        <w:spacing w:line="360" w:lineRule="auto"/>
        <w:ind w:firstLine="480"/>
        <w:jc w:val="both"/>
        <w:rPr>
          <w:rFonts w:hint="eastAsia" w:eastAsia="宋体"/>
          <w:lang w:eastAsia="zh-CN"/>
        </w:rPr>
      </w:pPr>
      <w:r>
        <w:rPr>
          <w:rFonts w:ascii="宋体" w:hAnsi="宋体" w:eastAsia="宋体"/>
          <w:color w:val="000000"/>
          <w:sz w:val="24"/>
        </w:rPr>
        <w:t>为保障航食公司生产办公园区环境卫生符合国家卫生防疫及食品生产相关法律法规与标准要求，有效防控病媒生物风险，依据园区卫生管理要求，开展四害消杀系统化、规范化防治工作。</w:t>
      </w:r>
      <w:r>
        <w:rPr>
          <w:rFonts w:hint="eastAsia" w:ascii="宋体" w:hAnsi="宋体" w:eastAsia="宋体"/>
          <w:color w:val="000000"/>
          <w:sz w:val="24"/>
          <w:lang w:val="en-US" w:eastAsia="zh-CN"/>
        </w:rPr>
        <w:t>该项目已列入2026年度采购计划</w:t>
      </w:r>
      <w:r>
        <w:rPr>
          <w:rFonts w:hint="eastAsia"/>
          <w:color w:val="000000"/>
          <w:sz w:val="24"/>
          <w:lang w:val="en-US" w:eastAsia="zh-CN"/>
        </w:rPr>
        <w:t>。</w:t>
      </w:r>
    </w:p>
    <w:p w14:paraId="56F158DB">
      <w:pPr>
        <w:pStyle w:val="4"/>
        <w:jc w:val="both"/>
      </w:pPr>
      <w:r>
        <w:rPr>
          <w:rFonts w:ascii="黑体" w:hAnsi="黑体" w:eastAsia="黑体"/>
          <w:b/>
          <w:color w:val="000000"/>
          <w:sz w:val="26"/>
        </w:rPr>
        <w:t>（三）采购计划批复情况</w:t>
      </w:r>
    </w:p>
    <w:p w14:paraId="367EF904">
      <w:pPr>
        <w:spacing w:line="360" w:lineRule="auto"/>
        <w:ind w:firstLine="480"/>
        <w:jc w:val="both"/>
      </w:pPr>
      <w:r>
        <w:rPr>
          <w:rFonts w:ascii="宋体" w:hAnsi="宋体" w:eastAsia="宋体"/>
          <w:color w:val="000000"/>
          <w:sz w:val="24"/>
        </w:rPr>
        <w:t>采购计划已批复，按计划实施采购。</w:t>
      </w:r>
    </w:p>
    <w:p w14:paraId="4F42A9C2">
      <w:pPr>
        <w:pStyle w:val="3"/>
        <w:jc w:val="both"/>
      </w:pPr>
      <w:r>
        <w:rPr>
          <w:rFonts w:ascii="黑体" w:hAnsi="黑体" w:eastAsia="黑体"/>
          <w:b/>
          <w:color w:val="000000"/>
          <w:sz w:val="30"/>
        </w:rPr>
        <w:t>二、采购需求</w:t>
      </w:r>
    </w:p>
    <w:p w14:paraId="5FCB855C">
      <w:pPr>
        <w:pStyle w:val="4"/>
        <w:jc w:val="both"/>
      </w:pPr>
      <w:r>
        <w:rPr>
          <w:rFonts w:ascii="黑体" w:hAnsi="黑体" w:eastAsia="黑体"/>
          <w:b/>
          <w:color w:val="000000"/>
          <w:sz w:val="26"/>
        </w:rPr>
        <w:t>（一）需实现的功能或目标</w:t>
      </w:r>
    </w:p>
    <w:p w14:paraId="794B3253">
      <w:pPr>
        <w:spacing w:line="360" w:lineRule="auto"/>
        <w:ind w:left="480"/>
        <w:jc w:val="both"/>
      </w:pPr>
      <w:r>
        <w:rPr>
          <w:rFonts w:ascii="宋体" w:hAnsi="宋体" w:eastAsia="宋体"/>
          <w:color w:val="000000"/>
          <w:sz w:val="24"/>
        </w:rPr>
        <w:t>1. 对园区内鼠类、蚊虫、蝇类、蜚蠊等病媒生物实施综合防制，将虫害密度控制至本需求列明的国家标准以内。</w:t>
      </w:r>
    </w:p>
    <w:p w14:paraId="2DC4A5E7">
      <w:pPr>
        <w:spacing w:line="360" w:lineRule="auto"/>
        <w:ind w:left="480"/>
        <w:jc w:val="both"/>
      </w:pPr>
      <w:r>
        <w:rPr>
          <w:rFonts w:ascii="宋体" w:hAnsi="宋体" w:eastAsia="宋体"/>
          <w:color w:val="000000"/>
          <w:sz w:val="24"/>
        </w:rPr>
        <w:t>2. 建立常态化消杀与监测机制，预防虫害滋生和扩散。</w:t>
      </w:r>
    </w:p>
    <w:p w14:paraId="3F7A1E75">
      <w:pPr>
        <w:spacing w:line="360" w:lineRule="auto"/>
        <w:ind w:left="480"/>
        <w:jc w:val="both"/>
      </w:pPr>
      <w:r>
        <w:rPr>
          <w:rFonts w:ascii="宋体" w:hAnsi="宋体" w:eastAsia="宋体"/>
          <w:color w:val="000000"/>
          <w:sz w:val="24"/>
        </w:rPr>
        <w:t>3. 提供24小时应急响应，接甲方通知后4小时内到达现场处置突发虫害事件。</w:t>
      </w:r>
    </w:p>
    <w:p w14:paraId="5379A4BF">
      <w:pPr>
        <w:spacing w:line="360" w:lineRule="auto"/>
        <w:ind w:left="480"/>
        <w:jc w:val="both"/>
      </w:pPr>
      <w:r>
        <w:rPr>
          <w:rFonts w:ascii="宋体" w:hAnsi="宋体" w:eastAsia="宋体"/>
          <w:color w:val="000000"/>
          <w:sz w:val="24"/>
        </w:rPr>
        <w:t>4. 所用药品符合国家农药管理相关法规及标准要求，保障食品生产环境安全。</w:t>
      </w:r>
    </w:p>
    <w:p w14:paraId="476AD514">
      <w:pPr>
        <w:spacing w:line="360" w:lineRule="auto"/>
        <w:ind w:left="480"/>
        <w:jc w:val="both"/>
      </w:pPr>
      <w:r>
        <w:rPr>
          <w:rFonts w:ascii="宋体" w:hAnsi="宋体" w:eastAsia="宋体"/>
          <w:color w:val="000000"/>
          <w:sz w:val="24"/>
        </w:rPr>
        <w:t>5. 建立虫害档案管理体系，定期分析虫害趋势，持续优化防制方案。</w:t>
      </w:r>
    </w:p>
    <w:p w14:paraId="780FF423">
      <w:pPr>
        <w:pStyle w:val="4"/>
        <w:jc w:val="both"/>
      </w:pPr>
      <w:r>
        <w:rPr>
          <w:rFonts w:ascii="黑体" w:hAnsi="黑体" w:eastAsia="黑体"/>
          <w:b/>
          <w:color w:val="000000"/>
          <w:sz w:val="26"/>
        </w:rPr>
        <w:t>（二）需执行的标准规范</w:t>
      </w:r>
    </w:p>
    <w:p w14:paraId="6619CB21">
      <w:pPr>
        <w:spacing w:line="360" w:lineRule="auto"/>
        <w:ind w:left="480"/>
        <w:jc w:val="both"/>
      </w:pPr>
      <w:r>
        <w:rPr>
          <w:rFonts w:ascii="宋体" w:hAnsi="宋体" w:eastAsia="宋体"/>
          <w:color w:val="000000"/>
          <w:sz w:val="24"/>
        </w:rPr>
        <w:t>1. GB/T 39504-2020《病媒生物综合管理技术规范 机场》；</w:t>
      </w:r>
    </w:p>
    <w:p w14:paraId="13907690">
      <w:pPr>
        <w:spacing w:line="360" w:lineRule="auto"/>
        <w:ind w:left="480"/>
        <w:jc w:val="both"/>
      </w:pPr>
      <w:r>
        <w:rPr>
          <w:rFonts w:ascii="宋体" w:hAnsi="宋体" w:eastAsia="宋体"/>
          <w:color w:val="000000"/>
          <w:sz w:val="24"/>
        </w:rPr>
        <w:t>2. GB/T 27770-2011《病媒生物密度控制水平 鼠类》、GB/T 27771-2011《病媒生物密度控制水平 蚊虫》、GB/T 27772-2025《病媒生物密度控制水平 蝇类》、GB/T 27773-2011《病媒生物密度控制水平 蜚蠊》；</w:t>
      </w:r>
    </w:p>
    <w:p w14:paraId="208D6059">
      <w:pPr>
        <w:spacing w:line="360" w:lineRule="auto"/>
        <w:ind w:left="480"/>
        <w:jc w:val="both"/>
      </w:pPr>
      <w:r>
        <w:rPr>
          <w:rFonts w:ascii="宋体" w:hAnsi="宋体" w:eastAsia="宋体"/>
          <w:color w:val="000000"/>
          <w:sz w:val="24"/>
        </w:rPr>
        <w:t>3. WS/T 691-2020《病媒生物防制操作规程 食品生产加工企业》；</w:t>
      </w:r>
    </w:p>
    <w:p w14:paraId="5F0333BD">
      <w:pPr>
        <w:spacing w:line="360" w:lineRule="auto"/>
        <w:ind w:left="480"/>
        <w:jc w:val="both"/>
      </w:pPr>
      <w:r>
        <w:rPr>
          <w:rFonts w:ascii="宋体" w:hAnsi="宋体" w:eastAsia="宋体"/>
          <w:color w:val="000000"/>
          <w:sz w:val="24"/>
        </w:rPr>
        <w:t>4. 《农药管理条例》及国家、地方卫生防疫、食品安全相关法律法规。</w:t>
      </w:r>
    </w:p>
    <w:p w14:paraId="7EBE8C1D">
      <w:pPr>
        <w:pStyle w:val="4"/>
        <w:jc w:val="both"/>
      </w:pPr>
      <w:r>
        <w:rPr>
          <w:rFonts w:ascii="黑体" w:hAnsi="黑体" w:eastAsia="黑体"/>
          <w:b/>
          <w:color w:val="000000"/>
          <w:sz w:val="26"/>
        </w:rPr>
        <w:t>（三）服务商基本要求</w:t>
      </w:r>
    </w:p>
    <w:p w14:paraId="00C50AAB">
      <w:pPr>
        <w:spacing w:line="360" w:lineRule="auto"/>
        <w:ind w:left="480"/>
        <w:jc w:val="both"/>
      </w:pPr>
      <w:r>
        <w:rPr>
          <w:rFonts w:ascii="宋体" w:hAnsi="宋体" w:eastAsia="宋体"/>
          <w:color w:val="000000"/>
          <w:sz w:val="24"/>
        </w:rPr>
        <w:t>1. 须具备独立法人资格，能够独立承担民事责任及相应的安全、环保责任。</w:t>
      </w:r>
    </w:p>
    <w:p w14:paraId="3CD881B5">
      <w:pPr>
        <w:spacing w:line="360" w:lineRule="auto"/>
        <w:ind w:left="480"/>
        <w:jc w:val="both"/>
        <w:rPr>
          <w:rFonts w:hint="eastAsia" w:ascii="宋体" w:hAnsi="宋体" w:eastAsia="宋体"/>
          <w:color w:val="000000"/>
          <w:sz w:val="24"/>
          <w:lang w:eastAsia="zh-CN"/>
        </w:rPr>
      </w:pPr>
      <w:r>
        <w:rPr>
          <w:rFonts w:hint="eastAsia"/>
          <w:color w:val="000000"/>
          <w:sz w:val="24"/>
          <w:lang w:val="en-US" w:eastAsia="zh-CN"/>
        </w:rPr>
        <w:t>2</w:t>
      </w:r>
      <w:r>
        <w:rPr>
          <w:rFonts w:ascii="宋体" w:hAnsi="宋体" w:eastAsia="宋体"/>
          <w:color w:val="000000"/>
          <w:sz w:val="24"/>
        </w:rPr>
        <w:t>. 须具备有效的有害生物防制服务机构服务能力 B 级及以上证书</w:t>
      </w:r>
      <w:r>
        <w:rPr>
          <w:rFonts w:hint="eastAsia"/>
          <w:color w:val="000000"/>
          <w:sz w:val="24"/>
          <w:lang w:eastAsia="zh-CN"/>
        </w:rPr>
        <w:t>。</w:t>
      </w:r>
    </w:p>
    <w:p w14:paraId="120BFF14">
      <w:pPr>
        <w:spacing w:line="360" w:lineRule="auto"/>
        <w:ind w:left="480"/>
        <w:jc w:val="both"/>
      </w:pPr>
      <w:r>
        <w:rPr>
          <w:rFonts w:hint="eastAsia"/>
          <w:color w:val="000000"/>
          <w:sz w:val="24"/>
          <w:lang w:val="en-US" w:eastAsia="zh-CN"/>
        </w:rPr>
        <w:t>3</w:t>
      </w:r>
      <w:r>
        <w:rPr>
          <w:rFonts w:ascii="宋体" w:hAnsi="宋体" w:eastAsia="宋体"/>
          <w:color w:val="000000"/>
          <w:sz w:val="24"/>
        </w:rPr>
        <w:t>. 拟派项目负责人须具有有害生物防制相关职业技能等级证书（</w:t>
      </w:r>
      <w:r>
        <w:rPr>
          <w:rFonts w:hint="eastAsia"/>
          <w:color w:val="000000"/>
          <w:sz w:val="24"/>
          <w:lang w:val="en-US" w:eastAsia="zh-CN"/>
        </w:rPr>
        <w:t>中级</w:t>
      </w:r>
      <w:r>
        <w:rPr>
          <w:rFonts w:ascii="宋体" w:hAnsi="宋体" w:eastAsia="宋体"/>
          <w:color w:val="000000"/>
          <w:sz w:val="24"/>
        </w:rPr>
        <w:t>及以上），且具有2年以上同类项目管理经验。</w:t>
      </w:r>
    </w:p>
    <w:p w14:paraId="3953DA19">
      <w:pPr>
        <w:spacing w:line="360" w:lineRule="auto"/>
        <w:ind w:left="480"/>
        <w:jc w:val="both"/>
      </w:pPr>
      <w:r>
        <w:rPr>
          <w:rFonts w:hint="eastAsia"/>
          <w:color w:val="000000"/>
          <w:sz w:val="24"/>
          <w:lang w:val="en-US" w:eastAsia="zh-CN"/>
        </w:rPr>
        <w:t>4</w:t>
      </w:r>
      <w:r>
        <w:rPr>
          <w:rFonts w:ascii="宋体" w:hAnsi="宋体" w:eastAsia="宋体"/>
          <w:color w:val="000000"/>
          <w:sz w:val="24"/>
        </w:rPr>
        <w:t>. 作业人员须持有有害生物防制相关行业培训合格证书，熟悉药剂特性、操作规范及应急处理流程。</w:t>
      </w:r>
    </w:p>
    <w:p w14:paraId="6C103D6B">
      <w:pPr>
        <w:spacing w:line="360" w:lineRule="auto"/>
        <w:ind w:left="480"/>
        <w:jc w:val="both"/>
      </w:pPr>
      <w:r>
        <w:rPr>
          <w:rFonts w:hint="eastAsia"/>
          <w:color w:val="000000"/>
          <w:sz w:val="24"/>
          <w:lang w:val="en-US" w:eastAsia="zh-CN"/>
        </w:rPr>
        <w:t>5</w:t>
      </w:r>
      <w:r>
        <w:rPr>
          <w:rFonts w:ascii="宋体" w:hAnsi="宋体" w:eastAsia="宋体"/>
          <w:color w:val="000000"/>
          <w:sz w:val="24"/>
        </w:rPr>
        <w:t>. 进入食品生产车间、仓库区域的作业人员须持有有效期内的健康证明。</w:t>
      </w:r>
    </w:p>
    <w:p w14:paraId="3B273F81">
      <w:pPr>
        <w:spacing w:line="360" w:lineRule="auto"/>
        <w:ind w:left="480"/>
        <w:jc w:val="both"/>
      </w:pPr>
      <w:r>
        <w:rPr>
          <w:rFonts w:hint="eastAsia"/>
          <w:color w:val="000000"/>
          <w:sz w:val="24"/>
          <w:lang w:val="en-US" w:eastAsia="zh-CN"/>
        </w:rPr>
        <w:t>6</w:t>
      </w:r>
      <w:r>
        <w:rPr>
          <w:rFonts w:ascii="宋体" w:hAnsi="宋体" w:eastAsia="宋体"/>
          <w:color w:val="000000"/>
          <w:sz w:val="24"/>
        </w:rPr>
        <w:t>. 服务商须自行投保足额保险，包括但不限于团体意外伤害保险、公众责任险</w:t>
      </w:r>
      <w:r>
        <w:rPr>
          <w:rFonts w:hint="eastAsia"/>
          <w:color w:val="000000"/>
          <w:sz w:val="24"/>
          <w:lang w:eastAsia="zh-CN"/>
        </w:rPr>
        <w:t>，</w:t>
      </w:r>
      <w:r>
        <w:rPr>
          <w:rFonts w:ascii="宋体" w:hAnsi="宋体" w:eastAsia="宋体"/>
          <w:color w:val="000000"/>
          <w:sz w:val="24"/>
        </w:rPr>
        <w:t>并提供相关保单证明</w:t>
      </w:r>
      <w:r>
        <w:rPr>
          <w:rFonts w:hint="eastAsia"/>
          <w:color w:val="000000"/>
          <w:sz w:val="24"/>
          <w:lang w:eastAsia="zh-CN"/>
        </w:rPr>
        <w:t>。</w:t>
      </w:r>
      <w:r>
        <w:rPr>
          <w:rFonts w:ascii="宋体" w:hAnsi="宋体" w:eastAsia="宋体"/>
          <w:color w:val="000000"/>
          <w:sz w:val="24"/>
        </w:rPr>
        <w:t>供应商应当保证保险持续有效，相关风险责任由供应商自行承担。</w:t>
      </w:r>
    </w:p>
    <w:p w14:paraId="6EC339C9">
      <w:pPr>
        <w:spacing w:line="360" w:lineRule="auto"/>
        <w:ind w:left="480"/>
        <w:jc w:val="both"/>
      </w:pPr>
      <w:r>
        <w:rPr>
          <w:rFonts w:hint="eastAsia"/>
          <w:color w:val="000000"/>
          <w:sz w:val="24"/>
          <w:lang w:val="en-US" w:eastAsia="zh-CN"/>
        </w:rPr>
        <w:t>7</w:t>
      </w:r>
      <w:r>
        <w:rPr>
          <w:rFonts w:ascii="宋体" w:hAnsi="宋体" w:eastAsia="宋体"/>
          <w:color w:val="000000"/>
          <w:sz w:val="24"/>
        </w:rPr>
        <w:t>. 近3年具有至少1个食品生产企业或机场区域病媒生物防制项目业绩（需提供合同复印件</w:t>
      </w:r>
      <w:r>
        <w:rPr>
          <w:rFonts w:hint="eastAsia"/>
          <w:color w:val="000000"/>
          <w:sz w:val="24"/>
          <w:lang w:val="en-US" w:eastAsia="zh-CN"/>
        </w:rPr>
        <w:t>且合同年度金额不低于1.5万元</w:t>
      </w:r>
      <w:r>
        <w:rPr>
          <w:rFonts w:ascii="宋体" w:hAnsi="宋体" w:eastAsia="宋体"/>
          <w:color w:val="000000"/>
          <w:sz w:val="24"/>
        </w:rPr>
        <w:t>）。</w:t>
      </w:r>
    </w:p>
    <w:p w14:paraId="42E12CD6">
      <w:pPr>
        <w:pStyle w:val="4"/>
        <w:jc w:val="both"/>
      </w:pPr>
      <w:r>
        <w:rPr>
          <w:rFonts w:ascii="黑体" w:hAnsi="黑体" w:eastAsia="黑体"/>
          <w:b/>
          <w:color w:val="000000"/>
          <w:sz w:val="26"/>
        </w:rPr>
        <w:t>（四）服务内容及频次要求</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8"/>
        <w:gridCol w:w="2928"/>
        <w:gridCol w:w="2928"/>
      </w:tblGrid>
      <w:tr w14:paraId="1CFC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14:paraId="7F3088FC">
            <w:pPr>
              <w:spacing w:after="0" w:line="240" w:lineRule="auto"/>
              <w:jc w:val="both"/>
            </w:pPr>
            <w:r>
              <w:rPr>
                <w:rFonts w:ascii="黑体" w:hAnsi="黑体" w:eastAsia="黑体"/>
                <w:b/>
                <w:color w:val="000000"/>
                <w:sz w:val="24"/>
              </w:rPr>
              <w:t>序号</w:t>
            </w:r>
          </w:p>
        </w:tc>
        <w:tc>
          <w:tcPr>
            <w:tcW w:w="2928" w:type="dxa"/>
          </w:tcPr>
          <w:p w14:paraId="6F30CBE9">
            <w:pPr>
              <w:spacing w:after="0" w:line="240" w:lineRule="auto"/>
              <w:jc w:val="both"/>
            </w:pPr>
            <w:r>
              <w:rPr>
                <w:rFonts w:ascii="黑体" w:hAnsi="黑体" w:eastAsia="黑体"/>
                <w:b/>
                <w:color w:val="000000"/>
                <w:sz w:val="24"/>
              </w:rPr>
              <w:t>服务内容</w:t>
            </w:r>
          </w:p>
        </w:tc>
        <w:tc>
          <w:tcPr>
            <w:tcW w:w="2928" w:type="dxa"/>
          </w:tcPr>
          <w:p w14:paraId="46DF202C">
            <w:pPr>
              <w:spacing w:after="0" w:line="240" w:lineRule="auto"/>
              <w:jc w:val="both"/>
            </w:pPr>
            <w:r>
              <w:rPr>
                <w:rFonts w:ascii="黑体" w:hAnsi="黑体" w:eastAsia="黑体"/>
                <w:b/>
                <w:color w:val="000000"/>
                <w:sz w:val="24"/>
              </w:rPr>
              <w:t>频次及要求</w:t>
            </w:r>
          </w:p>
        </w:tc>
      </w:tr>
      <w:tr w14:paraId="4A93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14:paraId="6B5B877F">
            <w:pPr>
              <w:spacing w:after="0" w:line="240" w:lineRule="auto"/>
              <w:jc w:val="both"/>
            </w:pPr>
            <w:r>
              <w:rPr>
                <w:rFonts w:ascii="宋体" w:hAnsi="宋体" w:eastAsia="宋体"/>
                <w:color w:val="000000"/>
                <w:sz w:val="22"/>
              </w:rPr>
              <w:t>1</w:t>
            </w:r>
          </w:p>
        </w:tc>
        <w:tc>
          <w:tcPr>
            <w:tcW w:w="2928" w:type="dxa"/>
          </w:tcPr>
          <w:p w14:paraId="2E14130F">
            <w:pPr>
              <w:spacing w:after="0" w:line="240" w:lineRule="auto"/>
              <w:jc w:val="both"/>
            </w:pPr>
            <w:r>
              <w:rPr>
                <w:rFonts w:ascii="宋体" w:hAnsi="宋体" w:eastAsia="宋体"/>
                <w:color w:val="000000"/>
                <w:sz w:val="22"/>
              </w:rPr>
              <w:t>常规消杀施工</w:t>
            </w:r>
          </w:p>
        </w:tc>
        <w:tc>
          <w:tcPr>
            <w:tcW w:w="2928" w:type="dxa"/>
          </w:tcPr>
          <w:p w14:paraId="21675F2A">
            <w:pPr>
              <w:spacing w:after="0" w:line="240" w:lineRule="auto"/>
              <w:jc w:val="both"/>
            </w:pPr>
            <w:r>
              <w:rPr>
                <w:rFonts w:ascii="宋体" w:hAnsi="宋体" w:eastAsia="宋体"/>
                <w:color w:val="000000"/>
                <w:sz w:val="22"/>
              </w:rPr>
              <w:t>每月不少于1次；5-10月（旺季）每月不少于2次：包含鼠板、毒饵站、诱捕设施等虫鼠害防制设施的检查、维护、补充、更换及清洁，定期排查虫害风险点；溴敌隆等限制使用农药严格按照《农药管理条例》规定合规使用</w:t>
            </w:r>
          </w:p>
        </w:tc>
      </w:tr>
      <w:tr w14:paraId="7E43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14:paraId="0952F8B4">
            <w:pPr>
              <w:spacing w:after="0" w:line="240" w:lineRule="auto"/>
              <w:jc w:val="both"/>
            </w:pPr>
            <w:r>
              <w:rPr>
                <w:rFonts w:ascii="宋体" w:hAnsi="宋体" w:eastAsia="宋体"/>
                <w:color w:val="000000"/>
                <w:sz w:val="22"/>
              </w:rPr>
              <w:t>2</w:t>
            </w:r>
          </w:p>
        </w:tc>
        <w:tc>
          <w:tcPr>
            <w:tcW w:w="2928" w:type="dxa"/>
          </w:tcPr>
          <w:p w14:paraId="6A2F0413">
            <w:pPr>
              <w:spacing w:after="0" w:line="240" w:lineRule="auto"/>
              <w:jc w:val="both"/>
            </w:pPr>
            <w:r>
              <w:rPr>
                <w:rFonts w:ascii="宋体" w:hAnsi="宋体" w:eastAsia="宋体"/>
                <w:color w:val="000000"/>
                <w:sz w:val="22"/>
              </w:rPr>
              <w:t>虫害密度监测</w:t>
            </w:r>
          </w:p>
        </w:tc>
        <w:tc>
          <w:tcPr>
            <w:tcW w:w="2928" w:type="dxa"/>
          </w:tcPr>
          <w:p w14:paraId="251B3507">
            <w:pPr>
              <w:spacing w:after="0" w:line="240" w:lineRule="auto"/>
              <w:jc w:val="both"/>
            </w:pPr>
            <w:r>
              <w:rPr>
                <w:rFonts w:ascii="宋体" w:hAnsi="宋体" w:eastAsia="宋体"/>
                <w:color w:val="000000"/>
                <w:sz w:val="22"/>
              </w:rPr>
              <w:t>每月不少于1次：按对应国家标准布设监测点，如实记录鼠、蚊、蝇、蜚蠊密度数据，形成正式监测报告提交甲方</w:t>
            </w:r>
          </w:p>
        </w:tc>
      </w:tr>
      <w:tr w14:paraId="44F5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tcPr>
          <w:p w14:paraId="624F622A">
            <w:pPr>
              <w:spacing w:after="0" w:line="240" w:lineRule="auto"/>
              <w:jc w:val="both"/>
            </w:pPr>
            <w:r>
              <w:rPr>
                <w:rFonts w:ascii="宋体" w:hAnsi="宋体" w:eastAsia="宋体"/>
                <w:color w:val="000000"/>
                <w:sz w:val="22"/>
              </w:rPr>
              <w:t>3</w:t>
            </w:r>
          </w:p>
        </w:tc>
        <w:tc>
          <w:tcPr>
            <w:tcW w:w="2928" w:type="dxa"/>
          </w:tcPr>
          <w:p w14:paraId="61BC72D0">
            <w:pPr>
              <w:spacing w:after="0" w:line="240" w:lineRule="auto"/>
              <w:jc w:val="both"/>
            </w:pPr>
            <w:r>
              <w:rPr>
                <w:rFonts w:ascii="宋体" w:hAnsi="宋体" w:eastAsia="宋体"/>
                <w:color w:val="000000"/>
                <w:sz w:val="22"/>
              </w:rPr>
              <w:t>应急消杀</w:t>
            </w:r>
          </w:p>
        </w:tc>
        <w:tc>
          <w:tcPr>
            <w:tcW w:w="2928" w:type="dxa"/>
          </w:tcPr>
          <w:p w14:paraId="565948E7">
            <w:pPr>
              <w:spacing w:after="0" w:line="240" w:lineRule="auto"/>
              <w:jc w:val="both"/>
            </w:pPr>
            <w:r>
              <w:rPr>
                <w:rFonts w:ascii="宋体" w:hAnsi="宋体" w:eastAsia="宋体"/>
                <w:color w:val="000000"/>
                <w:sz w:val="22"/>
              </w:rPr>
              <w:t>接甲方通知后4小时内到达现场处置突发虫害事件，处置完毕后48小时内提交应急处理报告</w:t>
            </w:r>
          </w:p>
        </w:tc>
      </w:tr>
    </w:tbl>
    <w:p w14:paraId="44ACC9EC">
      <w:pPr>
        <w:spacing w:line="360" w:lineRule="auto"/>
        <w:jc w:val="both"/>
        <w:rPr>
          <w:rFonts w:hint="eastAsia" w:eastAsia="宋体"/>
          <w:lang w:eastAsia="zh-CN"/>
        </w:rPr>
      </w:pPr>
      <w:r>
        <w:rPr>
          <w:rFonts w:ascii="宋体" w:hAnsi="宋体" w:eastAsia="宋体"/>
          <w:color w:val="000000"/>
          <w:sz w:val="24"/>
        </w:rPr>
        <w:t>注：应急消杀服务包含在年度服务范围内，每年不超过5次</w:t>
      </w:r>
      <w:r>
        <w:rPr>
          <w:rFonts w:hint="eastAsia"/>
          <w:color w:val="000000"/>
          <w:sz w:val="24"/>
          <w:lang w:eastAsia="zh-CN"/>
        </w:rPr>
        <w:t>；</w:t>
      </w:r>
      <w:r>
        <w:rPr>
          <w:rFonts w:hint="eastAsia"/>
          <w:color w:val="000000"/>
          <w:sz w:val="24"/>
          <w:lang w:val="en-US" w:eastAsia="zh-CN"/>
        </w:rPr>
        <w:t>超出部分按单次消杀</w:t>
      </w:r>
      <w:r>
        <w:rPr>
          <w:rFonts w:hint="eastAsia"/>
          <w:color w:val="000000"/>
          <w:sz w:val="24"/>
          <w:lang w:val="en-US" w:eastAsia="zh-CN"/>
        </w:rPr>
        <w:br w:type="textWrapping"/>
      </w:r>
      <w:r>
        <w:rPr>
          <w:rFonts w:hint="eastAsia"/>
          <w:color w:val="000000"/>
          <w:sz w:val="24"/>
          <w:lang w:val="en-US" w:eastAsia="zh-CN"/>
        </w:rPr>
        <w:t>价格据实结算，单次价格由双方在合同中约定。</w:t>
      </w:r>
    </w:p>
    <w:p w14:paraId="4581ACE5">
      <w:pPr>
        <w:pStyle w:val="4"/>
        <w:jc w:val="both"/>
      </w:pPr>
      <w:r>
        <w:rPr>
          <w:rFonts w:ascii="黑体" w:hAnsi="黑体" w:eastAsia="黑体"/>
          <w:b/>
          <w:color w:val="000000"/>
          <w:sz w:val="26"/>
        </w:rPr>
        <w:t>（五）食品生产区域特殊要求</w:t>
      </w:r>
    </w:p>
    <w:p w14:paraId="3923BE35">
      <w:pPr>
        <w:spacing w:line="360" w:lineRule="auto"/>
        <w:ind w:left="480"/>
        <w:jc w:val="both"/>
      </w:pPr>
      <w:r>
        <w:rPr>
          <w:rFonts w:ascii="宋体" w:hAnsi="宋体" w:eastAsia="宋体"/>
          <w:color w:val="000000"/>
          <w:sz w:val="24"/>
        </w:rPr>
        <w:t>1. 食品生产车间、原料及成品仓库内，禁止使用喷雾类化学杀虫剂，仅可采用物理防制方式（粘捕、诱捕）及密封带锁毒饵站投放杀鼠剂。</w:t>
      </w:r>
    </w:p>
    <w:p w14:paraId="05D2B1F5">
      <w:pPr>
        <w:spacing w:line="360" w:lineRule="auto"/>
        <w:ind w:left="480"/>
        <w:jc w:val="both"/>
      </w:pPr>
      <w:r>
        <w:rPr>
          <w:rFonts w:ascii="宋体" w:hAnsi="宋体" w:eastAsia="宋体"/>
          <w:color w:val="000000"/>
          <w:sz w:val="24"/>
        </w:rPr>
        <w:t>2. 所有化学消杀作业须在非生产时段开展，作业前做好隔离防护，避免药剂接触食品原料、包装材料、生产设备及人员高频接触区域。</w:t>
      </w:r>
    </w:p>
    <w:p w14:paraId="3E19ECF9">
      <w:pPr>
        <w:spacing w:line="360" w:lineRule="auto"/>
        <w:ind w:left="480"/>
        <w:jc w:val="both"/>
      </w:pPr>
      <w:r>
        <w:rPr>
          <w:rFonts w:ascii="宋体" w:hAnsi="宋体" w:eastAsia="宋体"/>
          <w:color w:val="000000"/>
          <w:sz w:val="24"/>
        </w:rPr>
        <w:t>3. 生产区域作业后须经甲方现场管理人员确认无隐患后方可离场。</w:t>
      </w:r>
    </w:p>
    <w:p w14:paraId="3F2243A7">
      <w:pPr>
        <w:spacing w:line="360" w:lineRule="auto"/>
        <w:ind w:left="480"/>
        <w:jc w:val="both"/>
      </w:pPr>
      <w:r>
        <w:rPr>
          <w:rFonts w:ascii="宋体" w:hAnsi="宋体" w:eastAsia="宋体"/>
          <w:color w:val="000000"/>
          <w:sz w:val="24"/>
        </w:rPr>
        <w:t>4. 杀鼠剂须全部使用带锁固定毒饵站投放，设置明显警示标识。</w:t>
      </w:r>
    </w:p>
    <w:p w14:paraId="7D27EABC">
      <w:pPr>
        <w:spacing w:line="360" w:lineRule="auto"/>
        <w:ind w:left="480"/>
        <w:jc w:val="both"/>
      </w:pPr>
      <w:r>
        <w:rPr>
          <w:rFonts w:ascii="宋体" w:hAnsi="宋体" w:eastAsia="宋体"/>
          <w:color w:val="000000"/>
          <w:sz w:val="24"/>
        </w:rPr>
        <w:t>5. 主要消杀药剂品种须提前报甲方备案，服务期内不得随意变更。</w:t>
      </w:r>
    </w:p>
    <w:p w14:paraId="03998E5D">
      <w:pPr>
        <w:spacing w:line="360" w:lineRule="auto"/>
        <w:ind w:left="480"/>
        <w:jc w:val="both"/>
      </w:pPr>
      <w:r>
        <w:rPr>
          <w:rFonts w:ascii="宋体" w:hAnsi="宋体" w:eastAsia="宋体"/>
          <w:color w:val="000000"/>
          <w:sz w:val="24"/>
        </w:rPr>
        <w:t>6. 每次作业剩余药剂、废弃毒饵及耗材全部由服务商带离厂区，严禁在厂区内存放消杀药剂及废弃有害物。</w:t>
      </w:r>
    </w:p>
    <w:p w14:paraId="32F7775C">
      <w:pPr>
        <w:spacing w:line="360" w:lineRule="auto"/>
        <w:ind w:left="480"/>
        <w:jc w:val="both"/>
      </w:pPr>
      <w:r>
        <w:rPr>
          <w:rFonts w:ascii="宋体" w:hAnsi="宋体" w:eastAsia="宋体"/>
          <w:color w:val="000000"/>
          <w:sz w:val="24"/>
        </w:rPr>
        <w:t>7. 消杀产生的所有废弃药剂、耗材等有害废弃物，由服务商负责按规定合规回收处置，不得遗留在厂区内。</w:t>
      </w:r>
    </w:p>
    <w:p w14:paraId="568942C4">
      <w:pPr>
        <w:pStyle w:val="4"/>
        <w:jc w:val="both"/>
      </w:pPr>
      <w:r>
        <w:rPr>
          <w:rFonts w:ascii="黑体" w:hAnsi="黑体" w:eastAsia="黑体"/>
          <w:b/>
          <w:color w:val="000000"/>
          <w:sz w:val="26"/>
        </w:rPr>
        <w:t>（六）设施配置及产权归属</w:t>
      </w:r>
    </w:p>
    <w:p w14:paraId="72B38FA7">
      <w:pPr>
        <w:spacing w:line="360" w:lineRule="auto"/>
        <w:ind w:left="480"/>
        <w:jc w:val="both"/>
      </w:pPr>
      <w:r>
        <w:rPr>
          <w:rFonts w:ascii="宋体" w:hAnsi="宋体" w:eastAsia="宋体"/>
          <w:color w:val="000000"/>
          <w:sz w:val="24"/>
        </w:rPr>
        <w:t>1. 本项目服务范围内的灭蝇灯、粘捕式捕虫灯等固定式物理防制设施，由甲方负责购置并安装，产权归甲方所有。</w:t>
      </w:r>
    </w:p>
    <w:p w14:paraId="5235B4A7">
      <w:pPr>
        <w:spacing w:line="360" w:lineRule="auto"/>
        <w:ind w:left="480"/>
        <w:jc w:val="both"/>
      </w:pPr>
      <w:r>
        <w:rPr>
          <w:rFonts w:ascii="宋体" w:hAnsi="宋体" w:eastAsia="宋体"/>
          <w:color w:val="000000"/>
          <w:sz w:val="24"/>
        </w:rPr>
        <w:t>2. 服务商在服务期内负责上述固定设施的日常清洁、灯管更换、粘纸更换等维护工作，维护所需耗材费用已包含在服务费用内。</w:t>
      </w:r>
    </w:p>
    <w:p w14:paraId="2408CE1F">
      <w:pPr>
        <w:spacing w:line="360" w:lineRule="auto"/>
        <w:ind w:left="480"/>
        <w:jc w:val="both"/>
      </w:pPr>
      <w:r>
        <w:rPr>
          <w:rFonts w:ascii="宋体" w:hAnsi="宋体" w:eastAsia="宋体"/>
          <w:color w:val="000000"/>
          <w:sz w:val="24"/>
        </w:rPr>
        <w:t>3. 粘鼠板、毒饵站等一次性或消耗性防制设施，由服务商负责提供并布设，费用已包含在服务费用内。</w:t>
      </w:r>
    </w:p>
    <w:p w14:paraId="3CE1552F">
      <w:pPr>
        <w:spacing w:line="360" w:lineRule="auto"/>
        <w:ind w:left="480"/>
        <w:jc w:val="both"/>
      </w:pPr>
      <w:r>
        <w:rPr>
          <w:rFonts w:ascii="宋体" w:hAnsi="宋体" w:eastAsia="宋体"/>
          <w:color w:val="000000"/>
          <w:sz w:val="24"/>
        </w:rPr>
        <w:t>4. 服务终止时，服务商不得将甲方自有设施拆除或带走；服务商提供的消耗性设施按正常使用消耗处理。</w:t>
      </w:r>
    </w:p>
    <w:p w14:paraId="4F1C1E59">
      <w:pPr>
        <w:pStyle w:val="4"/>
        <w:jc w:val="both"/>
      </w:pPr>
      <w:r>
        <w:rPr>
          <w:rFonts w:ascii="黑体" w:hAnsi="黑体" w:eastAsia="黑体"/>
          <w:b/>
          <w:color w:val="000000"/>
          <w:sz w:val="26"/>
        </w:rPr>
        <w:t>（七）质量要求</w:t>
      </w:r>
    </w:p>
    <w:p w14:paraId="46F3D0CD">
      <w:pPr>
        <w:spacing w:line="360" w:lineRule="auto"/>
        <w:ind w:left="480"/>
        <w:jc w:val="both"/>
      </w:pPr>
      <w:r>
        <w:rPr>
          <w:rFonts w:ascii="宋体" w:hAnsi="宋体" w:eastAsia="宋体"/>
          <w:color w:val="000000"/>
          <w:sz w:val="24"/>
        </w:rPr>
        <w:t>1. 病媒生物密度控制水平达到GB/T 27770-2011、GB/T 27771-2011、GB/T 27772-2025、GB/T 27773-2011标准规定的C级及以上控制水平。其中，生产车间及仓库等重点区域，服务商应根据现场风险状况采取高于C级标准的内控措施，确保食品生产环境安全。</w:t>
      </w:r>
    </w:p>
    <w:p w14:paraId="02E5D86C">
      <w:pPr>
        <w:spacing w:line="360" w:lineRule="auto"/>
        <w:ind w:left="480"/>
        <w:jc w:val="both"/>
      </w:pPr>
      <w:r>
        <w:rPr>
          <w:rFonts w:ascii="宋体" w:hAnsi="宋体" w:eastAsia="宋体"/>
          <w:color w:val="000000"/>
          <w:sz w:val="24"/>
        </w:rPr>
        <w:t>2. 所用消杀药剂均须具备合法有效的农药登记证、农药生产许可证、产品质量标准证（即"农药三证"），并提供化学品安全技术说明书（MSDS）</w:t>
      </w:r>
      <w:r>
        <w:rPr>
          <w:rFonts w:hint="eastAsia"/>
          <w:color w:val="000000"/>
          <w:sz w:val="24"/>
          <w:lang w:eastAsia="zh-CN"/>
        </w:rPr>
        <w:t>，</w:t>
      </w:r>
      <w:r>
        <w:rPr>
          <w:rFonts w:ascii="宋体" w:hAnsi="宋体" w:eastAsia="宋体"/>
          <w:color w:val="000000"/>
          <w:sz w:val="24"/>
        </w:rPr>
        <w:t>严禁使用高毒、剧毒、国家明令淘汰禁用农药</w:t>
      </w:r>
      <w:r>
        <w:rPr>
          <w:rFonts w:hint="eastAsia"/>
          <w:color w:val="000000"/>
          <w:sz w:val="24"/>
          <w:lang w:eastAsia="zh-CN"/>
        </w:rPr>
        <w:t>；</w:t>
      </w:r>
      <w:r>
        <w:rPr>
          <w:rFonts w:ascii="宋体" w:hAnsi="宋体" w:eastAsia="宋体"/>
          <w:color w:val="000000"/>
          <w:sz w:val="24"/>
        </w:rPr>
        <w:t>所有药剂须符合国家农药管理法规及食品生产环境安全要求。</w:t>
      </w:r>
    </w:p>
    <w:p w14:paraId="55E4F3D7">
      <w:pPr>
        <w:spacing w:line="360" w:lineRule="auto"/>
        <w:ind w:left="480"/>
        <w:jc w:val="both"/>
      </w:pPr>
      <w:r>
        <w:rPr>
          <w:rFonts w:ascii="宋体" w:hAnsi="宋体" w:eastAsia="宋体"/>
          <w:color w:val="000000"/>
          <w:sz w:val="24"/>
        </w:rPr>
        <w:t>3. 作业后现场无可见药品残留、无刺激性异味，不影响食品生产安全及人员正常办公；不得对园区内食品生产环境空气质量及设备正常运行造成不良影响。</w:t>
      </w:r>
    </w:p>
    <w:p w14:paraId="649D3E9C">
      <w:pPr>
        <w:spacing w:line="360" w:lineRule="auto"/>
        <w:ind w:left="480"/>
        <w:jc w:val="both"/>
      </w:pPr>
      <w:r>
        <w:rPr>
          <w:rFonts w:ascii="宋体" w:hAnsi="宋体" w:eastAsia="宋体"/>
          <w:color w:val="000000"/>
          <w:sz w:val="24"/>
        </w:rPr>
        <w:t>4. 每次服务结束后如实、规范填写消杀服务记录单，由甲乙双方指定人员现场签字确认，记录单作为服务结算依据。</w:t>
      </w:r>
    </w:p>
    <w:p w14:paraId="41A570B8">
      <w:pPr>
        <w:pStyle w:val="4"/>
        <w:jc w:val="both"/>
      </w:pPr>
      <w:r>
        <w:rPr>
          <w:rFonts w:ascii="黑体" w:hAnsi="黑体" w:eastAsia="黑体"/>
          <w:b/>
          <w:color w:val="000000"/>
          <w:sz w:val="26"/>
        </w:rPr>
        <w:t>（八）安全作业要求</w:t>
      </w:r>
    </w:p>
    <w:p w14:paraId="071E7C3D">
      <w:pPr>
        <w:spacing w:line="360" w:lineRule="auto"/>
        <w:ind w:left="480"/>
        <w:jc w:val="both"/>
      </w:pPr>
      <w:r>
        <w:rPr>
          <w:rFonts w:ascii="宋体" w:hAnsi="宋体" w:eastAsia="宋体"/>
          <w:color w:val="000000"/>
          <w:sz w:val="24"/>
        </w:rPr>
        <w:t>1. 所有消杀作业人员须熟悉消杀药剂特性、操作规范及应急处理流程，持证上岗。</w:t>
      </w:r>
    </w:p>
    <w:p w14:paraId="756B702A">
      <w:pPr>
        <w:spacing w:line="360" w:lineRule="auto"/>
        <w:ind w:left="480"/>
        <w:jc w:val="both"/>
      </w:pPr>
      <w:r>
        <w:rPr>
          <w:rFonts w:ascii="宋体" w:hAnsi="宋体" w:eastAsia="宋体"/>
          <w:color w:val="000000"/>
          <w:sz w:val="24"/>
        </w:rPr>
        <w:t>2. 进入厂区须严格遵守甲方安全、安保管理规定，履行出入登记手续，不得携带危险物品，未经甲方同意不得进入与作业无关的区域。</w:t>
      </w:r>
    </w:p>
    <w:p w14:paraId="5183E49F">
      <w:pPr>
        <w:spacing w:line="360" w:lineRule="auto"/>
        <w:ind w:left="480"/>
        <w:jc w:val="both"/>
      </w:pPr>
      <w:r>
        <w:rPr>
          <w:rFonts w:ascii="宋体" w:hAnsi="宋体" w:eastAsia="宋体"/>
          <w:color w:val="000000"/>
          <w:sz w:val="24"/>
        </w:rPr>
        <w:t>3. 施药过程须做好安全防护，采取有效隔离措施，避免药剂接触食品原料、包装材料、生产设备及人员接触区域。</w:t>
      </w:r>
    </w:p>
    <w:p w14:paraId="27CFAD32">
      <w:pPr>
        <w:spacing w:line="360" w:lineRule="auto"/>
        <w:ind w:left="480"/>
        <w:jc w:val="both"/>
      </w:pPr>
      <w:r>
        <w:rPr>
          <w:rFonts w:ascii="宋体" w:hAnsi="宋体" w:eastAsia="宋体"/>
          <w:color w:val="000000"/>
          <w:sz w:val="24"/>
        </w:rPr>
        <w:t>4. 服务商须为其所有作业人员购买足额的工伤保险及意外伤害保险；作业过程中因服务商原因造成的人员伤亡及财产损失，由服务商承担全部法律责任及经济赔偿责任。</w:t>
      </w:r>
    </w:p>
    <w:p w14:paraId="768A8576">
      <w:pPr>
        <w:pStyle w:val="4"/>
        <w:jc w:val="both"/>
      </w:pPr>
      <w:r>
        <w:rPr>
          <w:rFonts w:ascii="黑体" w:hAnsi="黑体" w:eastAsia="黑体"/>
          <w:b/>
          <w:color w:val="000000"/>
          <w:sz w:val="26"/>
        </w:rPr>
        <w:t>（九）服务标准与计价模式</w:t>
      </w:r>
    </w:p>
    <w:p w14:paraId="6EE4C008">
      <w:pPr>
        <w:spacing w:line="360" w:lineRule="auto"/>
        <w:ind w:left="480"/>
        <w:jc w:val="both"/>
      </w:pPr>
      <w:r>
        <w:rPr>
          <w:rFonts w:ascii="宋体" w:hAnsi="宋体" w:eastAsia="宋体"/>
          <w:color w:val="000000"/>
          <w:sz w:val="24"/>
        </w:rPr>
        <w:t>1. 服务商应在接到甲方进场通知之日起5个工作日内，完成现场实地勘察并编制《虫害综合管理计划书》，经甲方确认后实施。</w:t>
      </w:r>
    </w:p>
    <w:p w14:paraId="315CBA7E">
      <w:pPr>
        <w:spacing w:line="360" w:lineRule="auto"/>
        <w:ind w:left="480"/>
        <w:jc w:val="both"/>
      </w:pPr>
      <w:r>
        <w:rPr>
          <w:rFonts w:ascii="宋体" w:hAnsi="宋体" w:eastAsia="宋体"/>
          <w:color w:val="000000"/>
          <w:sz w:val="24"/>
        </w:rPr>
        <w:t>2. 按约定频次定期开展消杀施工及虫害监测，每次服务完成后3个工作日内提交服务记录及监测数据报告。</w:t>
      </w:r>
    </w:p>
    <w:p w14:paraId="624DCAFA">
      <w:pPr>
        <w:spacing w:line="360" w:lineRule="auto"/>
        <w:ind w:left="480"/>
        <w:jc w:val="both"/>
      </w:pPr>
      <w:r>
        <w:rPr>
          <w:rFonts w:ascii="宋体" w:hAnsi="宋体" w:eastAsia="宋体"/>
          <w:color w:val="000000"/>
          <w:sz w:val="24"/>
        </w:rPr>
        <w:t>3. 服务商须在合同签订后10个工作日内提交《应急事件处理预案》，明确应急联络人、24小时联络方式、应急响应流程及处置措施。</w:t>
      </w:r>
    </w:p>
    <w:p w14:paraId="40394A04">
      <w:pPr>
        <w:spacing w:line="360" w:lineRule="auto"/>
        <w:ind w:left="480"/>
        <w:jc w:val="both"/>
      </w:pPr>
      <w:r>
        <w:rPr>
          <w:rFonts w:ascii="宋体" w:hAnsi="宋体" w:eastAsia="宋体"/>
          <w:color w:val="000000"/>
          <w:sz w:val="24"/>
        </w:rPr>
        <w:t>4. 保持24小时通讯畅通，确保随时响应甲方应急工作需求。</w:t>
      </w:r>
    </w:p>
    <w:p w14:paraId="1BC21998">
      <w:pPr>
        <w:spacing w:line="360" w:lineRule="auto"/>
        <w:ind w:left="480"/>
        <w:jc w:val="both"/>
      </w:pPr>
      <w:r>
        <w:rPr>
          <w:rFonts w:ascii="宋体" w:hAnsi="宋体" w:eastAsia="宋体"/>
          <w:color w:val="000000"/>
          <w:sz w:val="24"/>
        </w:rPr>
        <w:t>5. 对甲方园区环境治理、物理防护设施建设提供免费技术指导。</w:t>
      </w:r>
    </w:p>
    <w:p w14:paraId="58534705">
      <w:pPr>
        <w:spacing w:line="360" w:lineRule="auto"/>
        <w:ind w:left="480"/>
        <w:jc w:val="both"/>
      </w:pPr>
      <w:r>
        <w:rPr>
          <w:rFonts w:ascii="宋体" w:hAnsi="宋体" w:eastAsia="宋体"/>
          <w:color w:val="000000"/>
          <w:sz w:val="24"/>
        </w:rPr>
        <w:t>6. 计价模式：本项目采用年度总价包干计价模式，三年服务期内年度价格保持不变。合同总价已包含完成本项目全部服务内容所需的人工、药剂、耗材、防制设施布设与维护、应急服务、运输、保险、税费、利润、废弃物处置等所有费用。服务期内，除因甲方原因造成大型虫鼠害防护设施损坏或丢失，需由甲方承担材料费用外，服务商不得以任何理由另行收取费用。</w:t>
      </w:r>
    </w:p>
    <w:p w14:paraId="5D51754F">
      <w:pPr>
        <w:spacing w:line="360" w:lineRule="auto"/>
        <w:ind w:left="480"/>
        <w:jc w:val="both"/>
      </w:pPr>
      <w:r>
        <w:rPr>
          <w:rFonts w:ascii="宋体" w:hAnsi="宋体" w:eastAsia="宋体"/>
          <w:color w:val="000000"/>
          <w:sz w:val="24"/>
        </w:rPr>
        <w:t>7. 因甲方原因造成虫鼠害防护设施损坏或丢失的，由甲方负责提供材料，服务商负责免费安装更换。</w:t>
      </w:r>
    </w:p>
    <w:p w14:paraId="56C7E897">
      <w:pPr>
        <w:spacing w:line="360" w:lineRule="auto"/>
        <w:ind w:left="480"/>
        <w:jc w:val="both"/>
      </w:pPr>
      <w:r>
        <w:rPr>
          <w:rFonts w:ascii="宋体" w:hAnsi="宋体" w:eastAsia="宋体"/>
          <w:color w:val="000000"/>
          <w:sz w:val="24"/>
        </w:rPr>
        <w:t>8. 每年12月底前，服务商提交年度虫害分析报告及下一年度防治优化方案。</w:t>
      </w:r>
    </w:p>
    <w:p w14:paraId="7EC801A6">
      <w:pPr>
        <w:pStyle w:val="3"/>
        <w:jc w:val="both"/>
      </w:pPr>
      <w:r>
        <w:rPr>
          <w:rFonts w:ascii="黑体" w:hAnsi="黑体" w:eastAsia="黑体"/>
          <w:b/>
          <w:color w:val="000000"/>
          <w:sz w:val="30"/>
        </w:rPr>
        <w:t>三、验收标准</w:t>
      </w:r>
    </w:p>
    <w:p w14:paraId="264BDF81">
      <w:pPr>
        <w:spacing w:line="360" w:lineRule="auto"/>
        <w:ind w:left="480"/>
        <w:jc w:val="both"/>
      </w:pPr>
      <w:r>
        <w:rPr>
          <w:rFonts w:ascii="宋体" w:hAnsi="宋体" w:eastAsia="宋体"/>
          <w:color w:val="000000"/>
          <w:sz w:val="24"/>
        </w:rPr>
        <w:t>1. 按约定服务范围及频次完成全部消杀作业，覆盖所有指定区域，无遗漏、无死角。</w:t>
      </w:r>
    </w:p>
    <w:p w14:paraId="5D1D7972">
      <w:pPr>
        <w:spacing w:line="360" w:lineRule="auto"/>
        <w:ind w:left="480"/>
        <w:jc w:val="both"/>
      </w:pPr>
      <w:r>
        <w:rPr>
          <w:rFonts w:ascii="宋体" w:hAnsi="宋体" w:eastAsia="宋体"/>
          <w:color w:val="000000"/>
          <w:sz w:val="24"/>
        </w:rPr>
        <w:t>2. 病媒生物密度控制水平达到对应国家标准C级及以上；连续2次监测不达标视为当期服务不合格。</w:t>
      </w:r>
    </w:p>
    <w:p w14:paraId="23C29D02">
      <w:pPr>
        <w:spacing w:line="360" w:lineRule="auto"/>
        <w:ind w:left="480"/>
        <w:jc w:val="both"/>
      </w:pPr>
      <w:r>
        <w:rPr>
          <w:rFonts w:ascii="宋体" w:hAnsi="宋体" w:eastAsia="宋体"/>
          <w:color w:val="000000"/>
          <w:sz w:val="24"/>
        </w:rPr>
        <w:t>3. 每次服务记录完整、规范，甲乙双方签字确认手续齐全；月度监测报告、年度总结报告按时提交。</w:t>
      </w:r>
    </w:p>
    <w:p w14:paraId="6B4FDF28">
      <w:pPr>
        <w:spacing w:line="360" w:lineRule="auto"/>
        <w:ind w:left="480"/>
        <w:jc w:val="both"/>
      </w:pPr>
      <w:r>
        <w:rPr>
          <w:rFonts w:ascii="宋体" w:hAnsi="宋体" w:eastAsia="宋体"/>
          <w:color w:val="000000"/>
          <w:sz w:val="24"/>
        </w:rPr>
        <w:t>4. 所用药品合规有效，"农药三证"及MSDS齐全；现场无药剂残留、无安全隐患。</w:t>
      </w:r>
    </w:p>
    <w:p w14:paraId="735BEDB9">
      <w:pPr>
        <w:pStyle w:val="3"/>
        <w:jc w:val="both"/>
      </w:pPr>
      <w:r>
        <w:rPr>
          <w:rFonts w:ascii="黑体" w:hAnsi="黑体" w:eastAsia="黑体"/>
          <w:b/>
          <w:color w:val="000000"/>
          <w:sz w:val="30"/>
        </w:rPr>
        <w:t>四、其他约定</w:t>
      </w:r>
    </w:p>
    <w:p w14:paraId="6723A701">
      <w:pPr>
        <w:spacing w:line="360" w:lineRule="auto"/>
        <w:ind w:left="480"/>
        <w:jc w:val="both"/>
        <w:rPr>
          <w:rFonts w:ascii="宋体" w:hAnsi="宋体" w:eastAsia="宋体"/>
          <w:color w:val="000000"/>
          <w:sz w:val="24"/>
        </w:rPr>
      </w:pPr>
      <w:r>
        <w:rPr>
          <w:rFonts w:ascii="宋体" w:hAnsi="宋体" w:eastAsia="宋体"/>
          <w:color w:val="000000"/>
          <w:sz w:val="24"/>
        </w:rPr>
        <w:t>1. 结算方式:本项目按季度结算｡月度服务费按年度总价除以12个月计算, 每季度支付3个月的服务费用｡服务商按约完成当季度服务,经甲方验收合格且开具等额合法有效的增值税专用发票后,甲方于30个工作日内支付当季度款项｡超出年度5次的应急消杀费用,按单次价格据实结算,随当季度款项一并支付｡</w:t>
      </w:r>
    </w:p>
    <w:p w14:paraId="417AE735">
      <w:pPr>
        <w:spacing w:line="360" w:lineRule="auto"/>
        <w:ind w:left="480"/>
        <w:jc w:val="both"/>
      </w:pPr>
      <w:r>
        <w:rPr>
          <w:rFonts w:ascii="宋体" w:hAnsi="宋体" w:eastAsia="宋体"/>
          <w:color w:val="000000"/>
          <w:sz w:val="24"/>
        </w:rPr>
        <w:t>2. 服务商存在违约行为应当支付违约金或造成甲方损失的，甲方有权从任何应付款项中直接扣除相应金额。</w:t>
      </w:r>
    </w:p>
    <w:p w14:paraId="2BFC2DF9">
      <w:pPr>
        <w:spacing w:line="360" w:lineRule="auto"/>
        <w:ind w:left="480"/>
        <w:jc w:val="both"/>
      </w:pPr>
      <w:r>
        <w:rPr>
          <w:rFonts w:ascii="宋体" w:hAnsi="宋体" w:eastAsia="宋体"/>
          <w:color w:val="000000"/>
          <w:sz w:val="24"/>
        </w:rPr>
        <w:t>3. 若服务商消杀服务质量连续</w:t>
      </w:r>
      <w:r>
        <w:rPr>
          <w:rFonts w:hint="eastAsia"/>
          <w:color w:val="000000"/>
          <w:sz w:val="24"/>
          <w:lang w:val="en-US" w:eastAsia="zh-CN"/>
        </w:rPr>
        <w:t>3</w:t>
      </w:r>
      <w:r>
        <w:rPr>
          <w:rFonts w:ascii="宋体" w:hAnsi="宋体" w:eastAsia="宋体"/>
          <w:color w:val="000000"/>
          <w:sz w:val="24"/>
        </w:rPr>
        <w:t>次不达标，或无法满足甲方合理的安全、服务要求，甲方有权立即单方终止合同，且不承担任何违约责任。</w:t>
      </w:r>
    </w:p>
    <w:p w14:paraId="5C61381F">
      <w:pPr>
        <w:spacing w:line="360" w:lineRule="auto"/>
        <w:ind w:left="480"/>
        <w:jc w:val="both"/>
      </w:pPr>
      <w:r>
        <w:rPr>
          <w:rFonts w:ascii="宋体" w:hAnsi="宋体" w:eastAsia="宋体"/>
          <w:color w:val="000000"/>
          <w:sz w:val="24"/>
        </w:rPr>
        <w:t>4. 服务商及其作业人员应对甲方相关事宜（包括但不限于厂区布局、生产信息、消杀记录、监测数据等）严格保密。</w:t>
      </w:r>
    </w:p>
    <w:sectPr>
      <w:headerReference r:id="rId5" w:type="default"/>
      <w:pgSz w:w="12240" w:h="15840"/>
      <w:pgMar w:top="1440" w:right="1728" w:bottom="1440" w:left="172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14D4C">
    <w:pPr>
      <w:pStyle w:val="25"/>
    </w:pPr>
    <w:r>
      <w:rPr>
        <w:sz w:val="24"/>
      </w:rPr>
      <w:pict>
        <v:group id="WEOffice_watermarkerGroup_1_16" o:spid="_x0000_s2066" o:spt="203" style="position:absolute;left:0pt;margin-left:-76.4pt;margin-top:-26pt;height:627.8pt;width:664.95pt;z-index:251659264;mso-width-relative:page;mso-height-relative:page;" coordorigin="483,483" coordsize="13299,12556">
          <o:lock v:ext="edit" aspectratio="f"/>
          <v:shape id="_x0000_s2050" o:spid="_x0000_s2050" o:spt="136" type="#_x0000_t136" style="position:absolute;left:483;top:483;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1" o:spid="_x0000_s2051" o:spt="136" type="#_x0000_t136" style="position:absolute;left:3456;top:483;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2" o:spid="_x0000_s2052" o:spt="136" type="#_x0000_t136" style="position:absolute;left:6429;top:483;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3" o:spid="_x0000_s2053" o:spt="136" type="#_x0000_t136" style="position:absolute;left:9402;top:483;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4" o:spid="_x0000_s2054" o:spt="136" type="#_x0000_t136" style="position:absolute;left:483;top:4542;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5" o:spid="_x0000_s2055" o:spt="136" type="#_x0000_t136" style="position:absolute;left:3456;top:4542;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6" o:spid="_x0000_s2056" o:spt="136" type="#_x0000_t136" style="position:absolute;left:6429;top:4542;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7" o:spid="_x0000_s2057" o:spt="136" type="#_x0000_t136" style="position:absolute;left:9402;top:4542;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8" o:spid="_x0000_s2058" o:spt="136" type="#_x0000_t136" style="position:absolute;left:483;top:8601;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59" o:spid="_x0000_s2059" o:spt="136" type="#_x0000_t136" style="position:absolute;left:3456;top:8601;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60" o:spid="_x0000_s2060" o:spt="136" type="#_x0000_t136" style="position:absolute;left:6429;top:8601;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61" o:spid="_x0000_s2061" o:spt="136" type="#_x0000_t136" style="position:absolute;left:9402;top:8601;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62" o:spid="_x0000_s2062" o:spt="136" type="#_x0000_t136" style="position:absolute;left:483;top:12659;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63" o:spid="_x0000_s2063" o:spt="136" type="#_x0000_t136" style="position:absolute;left:3456;top:12659;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64" o:spid="_x0000_s2064" o:spt="136" type="#_x0000_t136" style="position:absolute;left:6429;top:12659;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shape id="_x0000_s2065" o:spid="_x0000_s2065" o:spt="136" type="#_x0000_t136" style="position:absolute;left:9402;top:12659;height:380;width:4380;rotation:-2949120f;" fillcolor="#D9D9D9" filled="t" stroked="f" coordsize="21600,21600" adj="10800">
            <v:path/>
            <v:fill on="t" opacity="32768f" focussize="0,0"/>
            <v:stroke on="f"/>
            <v:imagedata o:title=""/>
            <o:lock v:ext="edit" aspectratio="t"/>
            <v:textpath on="t" fitpath="t" trim="t" xscale="f" string="022261 2026-08-03 13:29:43" style="font-family:Arial;font-size:17pt;v-text-align:center;"/>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dit="trackedChanges" w:enforcement="1" w:cryptProviderType="rsaFull" w:cryptAlgorithmClass="hash" w:cryptAlgorithmType="typeAny" w:cryptAlgorithmSid="4" w:cryptSpinCount="0" w:hash="r3RTACkGvEFs99JWGFA8yZMlUW8=" w:salt="q+7KaKQUSC+vIXV7HX+sVw=="/>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F43915"/>
    <w:rsid w:val="0D6E5C66"/>
    <w:rsid w:val="177623CF"/>
    <w:rsid w:val="36402A97"/>
    <w:rsid w:val="528F683E"/>
    <w:rsid w:val="588C6934"/>
    <w:rsid w:val="5A913A00"/>
    <w:rsid w:val="72045FE7"/>
    <w:rsid w:val="77560841"/>
    <w:rsid w:val="77C047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105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崔睿智</cp:lastModifiedBy>
  <dcterms:modified xsi:type="dcterms:W3CDTF">2026-08-03T05:29:48Z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084AAFD3F072441C88468525C026532E</vt:lpwstr>
  </property>
</Properties>
</file>