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96951">
      <w:pPr>
        <w:snapToGrid/>
        <w:spacing w:line="760" w:lineRule="exact"/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/>
          <w:b w:val="0"/>
          <w:bCs w:val="0"/>
          <w:i w:val="0"/>
          <w:i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/>
          <w:b w:val="0"/>
          <w:bCs w:val="0"/>
          <w:i w:val="0"/>
          <w:iCs w:val="0"/>
          <w:sz w:val="44"/>
          <w:szCs w:val="44"/>
          <w:lang w:val="en-US" w:eastAsia="zh-CN"/>
        </w:rPr>
        <w:t>采购需求</w:t>
      </w:r>
    </w:p>
    <w:p w14:paraId="3B40E473">
      <w:pPr>
        <w:numPr>
          <w:ilvl w:val="0"/>
          <w:numId w:val="0"/>
        </w:numPr>
        <w:snapToGrid/>
        <w:spacing w:line="336" w:lineRule="auto"/>
        <w:ind w:left="0" w:leftChars="0" w:right="0" w:rightChars="0" w:firstLine="640" w:firstLineChars="200"/>
        <w:jc w:val="both"/>
        <w:outlineLvl w:val="0"/>
        <w:rPr>
          <w:rFonts w:hint="default" w:ascii="黑体" w:hAnsi="黑体" w:eastAsia="黑体" w:cs="黑体"/>
          <w:b w:val="0"/>
          <w:bCs w:val="0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sz w:val="32"/>
          <w:szCs w:val="32"/>
          <w:lang w:val="en-US" w:eastAsia="zh-CN"/>
        </w:rPr>
        <w:t>一、采购</w:t>
      </w:r>
      <w:r>
        <w:rPr>
          <w:rFonts w:hint="eastAsia" w:ascii="黑体" w:hAnsi="黑体" w:eastAsia="黑体" w:cs="楷体_GB2312"/>
          <w:b w:val="0"/>
          <w:bCs w:val="0"/>
          <w:i w:val="0"/>
          <w:iCs w:val="0"/>
          <w:sz w:val="32"/>
          <w:szCs w:val="32"/>
          <w:lang w:val="en-US" w:eastAsia="zh-CN"/>
        </w:rPr>
        <w:t>字体需求</w:t>
      </w:r>
    </w:p>
    <w:p w14:paraId="08257347">
      <w:pPr>
        <w:snapToGrid/>
        <w:spacing w:line="336" w:lineRule="auto"/>
        <w:ind w:left="0" w:leftChars="0" w:right="0" w:rightChars="0" w:firstLine="640" w:firstLineChars="200"/>
        <w:jc w:val="both"/>
        <w:outlineLvl w:val="1"/>
        <w:rPr>
          <w:rFonts w:hint="default" w:ascii="楷体_GB2312" w:hAnsi="楷体_GB2312" w:eastAsia="楷体_GB2312" w:cs="黑体"/>
          <w:b w:val="0"/>
          <w:bCs w:val="0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黑体"/>
          <w:b w:val="0"/>
          <w:bCs w:val="0"/>
          <w:i w:val="0"/>
          <w:iCs w:val="0"/>
          <w:sz w:val="32"/>
          <w:szCs w:val="32"/>
          <w:lang w:val="en-US" w:eastAsia="zh-CN"/>
        </w:rPr>
        <w:t>标段一：设计类字体采购：</w:t>
      </w:r>
    </w:p>
    <w:p w14:paraId="0E2D6E30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1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、标题字体</w:t>
      </w:r>
    </w:p>
    <w:p w14:paraId="0E4662FB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1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）笔画规整，结构扎实，现代、硬朗、力量、艺术。</w:t>
      </w:r>
    </w:p>
    <w:p w14:paraId="152CB730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vertAlign w:val="subscript"/>
        </w:rPr>
        <w:drawing>
          <wp:inline distT="0" distB="0" distL="0" distR="0">
            <wp:extent cx="2228850" cy="3136900"/>
            <wp:effectExtent l="0" t="0" r="0" b="6350"/>
            <wp:docPr id="548686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86047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2D49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 xml:space="preserve">2）笔画粗黑，线条规整，结构扎实，字形方正。现代、硬朗、浑厚。 </w:t>
      </w:r>
    </w:p>
    <w:p w14:paraId="0B6619BB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drawing>
          <wp:inline distT="0" distB="0" distL="0" distR="0">
            <wp:extent cx="2674620" cy="3949700"/>
            <wp:effectExtent l="0" t="0" r="11430" b="12700"/>
            <wp:docPr id="17532016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0162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4717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3）字体线条笔画柔顺，简约、现代、文艺</w:t>
      </w:r>
    </w:p>
    <w:p w14:paraId="56CE8BD3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drawing>
          <wp:inline distT="0" distB="0" distL="0" distR="0">
            <wp:extent cx="3378200" cy="2527300"/>
            <wp:effectExtent l="0" t="0" r="12700" b="6350"/>
            <wp:docPr id="109061450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14501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418E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4）字体线条粗壮，坚硬、有力、简约、时尚、大气</w:t>
      </w:r>
    </w:p>
    <w:p w14:paraId="748832B1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drawing>
          <wp:inline distT="0" distB="0" distL="0" distR="0">
            <wp:extent cx="3751580" cy="3719195"/>
            <wp:effectExtent l="0" t="0" r="1270" b="14605"/>
            <wp:docPr id="12390776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77601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633" cy="372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86CC5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2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、正文字体</w:t>
      </w:r>
    </w:p>
    <w:p w14:paraId="2852754B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字体结构平稳，舒缓放松，字形优美。</w:t>
      </w:r>
    </w:p>
    <w:p w14:paraId="48934DE1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drawing>
          <wp:inline distT="0" distB="0" distL="0" distR="0">
            <wp:extent cx="5270500" cy="4114800"/>
            <wp:effectExtent l="0" t="0" r="6350" b="0"/>
            <wp:docPr id="1856093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9342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A583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drawing>
          <wp:inline distT="0" distB="0" distL="0" distR="0">
            <wp:extent cx="5271770" cy="2884805"/>
            <wp:effectExtent l="0" t="0" r="5080" b="10795"/>
            <wp:docPr id="21225736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367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B125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3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、手写字体</w:t>
      </w:r>
    </w:p>
    <w:p w14:paraId="68CC06EB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1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）随性自然的创意手写字体</w:t>
      </w:r>
    </w:p>
    <w:p w14:paraId="6F6F6D66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drawing>
          <wp:inline distT="0" distB="0" distL="0" distR="0">
            <wp:extent cx="4768850" cy="4254500"/>
            <wp:effectExtent l="0" t="0" r="12700" b="12700"/>
            <wp:docPr id="18708325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3251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E7B6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4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、书法字体</w:t>
      </w:r>
    </w:p>
    <w:p w14:paraId="6F1B33E4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1）字体雄浑遒劲，圆润但有筋骨，适合标题设计。</w:t>
      </w:r>
    </w:p>
    <w:p w14:paraId="628C83DB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drawing>
          <wp:inline distT="0" distB="0" distL="0" distR="0">
            <wp:extent cx="4254500" cy="2837815"/>
            <wp:effectExtent l="0" t="0" r="12700" b="635"/>
            <wp:docPr id="7238150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15025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E7A2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2）对联字体。字形浑厚，古朴大气的水墨毛笔手写字体，主要用于对联。</w:t>
      </w:r>
    </w:p>
    <w:p w14:paraId="53D26516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/>
          <w:b w:val="0"/>
          <w:bCs w:val="0"/>
          <w:i w:val="0"/>
          <w:iCs w:val="0"/>
          <w:sz w:val="32"/>
          <w:szCs w:val="32"/>
        </w:rPr>
        <w:drawing>
          <wp:inline distT="0" distB="0" distL="0" distR="0">
            <wp:extent cx="2773045" cy="4838065"/>
            <wp:effectExtent l="0" t="0" r="8255" b="635"/>
            <wp:docPr id="1613966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6625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1DF5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5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、卡通字体</w:t>
      </w:r>
    </w:p>
    <w:p w14:paraId="49DF2183">
      <w:p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  <w:t>字形具有节奏感和欢快感，活泼、现代、可爱</w:t>
      </w:r>
    </w:p>
    <w:p w14:paraId="27C631C0">
      <w:pPr>
        <w:jc w:val="center"/>
        <w:rPr>
          <w:rFonts w:ascii="仿宋_GB2312" w:hAnsi="黑体" w:eastAsia="仿宋_GB2312" w:cs="黑体"/>
          <w:sz w:val="32"/>
          <w:szCs w:val="32"/>
        </w:rPr>
      </w:pPr>
      <w:r>
        <w:rPr>
          <w:rFonts w:ascii="仿宋_GB2312" w:hAnsi="黑体" w:eastAsia="仿宋_GB2312" w:cs="黑体"/>
          <w:sz w:val="32"/>
          <w:szCs w:val="32"/>
        </w:rPr>
        <w:drawing>
          <wp:inline distT="0" distB="0" distL="0" distR="0">
            <wp:extent cx="5238750" cy="2946400"/>
            <wp:effectExtent l="0" t="0" r="0" b="6350"/>
            <wp:docPr id="1317843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43616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18EB">
      <w:pPr>
        <w:numPr>
          <w:ilvl w:val="0"/>
          <w:numId w:val="1"/>
        </w:numPr>
        <w:snapToGrid/>
        <w:spacing w:line="336" w:lineRule="auto"/>
        <w:ind w:left="0" w:leftChars="0" w:right="0" w:rightChars="0" w:firstLine="640" w:firstLineChars="200"/>
        <w:jc w:val="both"/>
        <w:outlineLvl w:val="9"/>
        <w:rPr>
          <w:rFonts w:ascii="仿宋_GB2312" w:hAnsi="仿宋_GB2312" w:eastAsia="仿宋_GB2312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lang w:val="en-US" w:eastAsia="zh-CN"/>
        </w:rPr>
        <w:t>引导类标识牌字体、行政办公字体、名片字体，适合部门背景墙、公文发布、名片详情内容展示部分使用。</w:t>
      </w:r>
    </w:p>
    <w:p w14:paraId="0729FFB0">
      <w:pPr>
        <w:numPr>
          <w:ilvl w:val="0"/>
          <w:numId w:val="0"/>
        </w:numPr>
        <w:snapToGrid/>
        <w:spacing w:line="240" w:lineRule="auto"/>
        <w:ind w:left="0" w:leftChars="0" w:right="0" w:rightChars="0" w:firstLine="640" w:firstLineChars="200"/>
        <w:jc w:val="both"/>
        <w:outlineLvl w:val="9"/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以上六类字体，</w:t>
      </w:r>
      <w:r>
        <w:rPr>
          <w:rFonts w:hint="eastAsia" w:ascii="仿宋_GB2312" w:hAnsi="仿宋_GB2312" w:eastAsia="仿宋_GB2312" w:cs="黑体"/>
          <w:b/>
          <w:bCs/>
          <w:i w:val="0"/>
          <w:iCs w:val="0"/>
          <w:sz w:val="32"/>
          <w:szCs w:val="32"/>
          <w:highlight w:val="none"/>
          <w:lang w:val="en-US" w:eastAsia="zh-CN"/>
        </w:rPr>
        <w:t>每类字体提供</w:t>
      </w:r>
      <w:r>
        <w:rPr>
          <w:rFonts w:hint="default" w:ascii="仿宋_GB2312" w:hAnsi="仿宋_GB2312" w:eastAsia="仿宋_GB2312" w:cs="黑体"/>
          <w:b/>
          <w:bCs/>
          <w:i w:val="0"/>
          <w:iCs w:val="0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黑体"/>
          <w:b/>
          <w:bCs/>
          <w:i w:val="0"/>
          <w:iCs w:val="0"/>
          <w:sz w:val="32"/>
          <w:szCs w:val="32"/>
          <w:highlight w:val="none"/>
          <w:lang w:val="en-US" w:eastAsia="zh-CN"/>
        </w:rPr>
        <w:t>种字体推荐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（推荐字体需提供授权证明）</w:t>
      </w:r>
      <w:r>
        <w:rPr>
          <w:rFonts w:hint="eastAsia" w:ascii="仿宋_GB2312" w:hAnsi="仿宋_GB2312" w:eastAsia="仿宋_GB2312" w:cs="黑体"/>
          <w:b/>
          <w:bCs/>
          <w:i w:val="0"/>
          <w:iCs w:val="0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文件夹命名为“</w:t>
      </w:r>
      <w:r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、标题字体”、“</w:t>
      </w:r>
      <w:r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、正文字体”，以此类推。该示例文件为后续采购字体范围。</w:t>
      </w:r>
    </w:p>
    <w:p w14:paraId="78AB18E1">
      <w:pPr>
        <w:snapToGrid/>
        <w:spacing w:line="336" w:lineRule="auto"/>
        <w:ind w:left="0" w:leftChars="0" w:right="0" w:rightChars="0" w:firstLine="640" w:firstLineChars="200"/>
        <w:jc w:val="both"/>
        <w:outlineLvl w:val="1"/>
        <w:rPr>
          <w:rFonts w:hint="eastAsia" w:ascii="楷体_GB2312" w:hAnsi="楷体_GB2312" w:eastAsia="楷体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标段二：</w:t>
      </w:r>
      <w:r>
        <w:rPr>
          <w:rFonts w:hint="default" w:ascii="楷体_GB2312" w:hAnsi="楷体_GB2312" w:eastAsia="楷体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Futura Book</w:t>
      </w:r>
      <w:r>
        <w:rPr>
          <w:rFonts w:hint="eastAsia" w:ascii="楷体_GB2312" w:hAnsi="楷体_GB2312" w:eastAsia="楷体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西文</w:t>
      </w:r>
      <w:r>
        <w:rPr>
          <w:rFonts w:hint="default" w:ascii="楷体_GB2312" w:hAnsi="楷体_GB2312" w:eastAsia="楷体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logo</w:t>
      </w:r>
      <w:r>
        <w:rPr>
          <w:rFonts w:hint="eastAsia" w:ascii="楷体_GB2312" w:hAnsi="楷体_GB2312" w:eastAsia="楷体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字体</w:t>
      </w:r>
    </w:p>
    <w:p w14:paraId="4AB3E6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textAlignment w:val="auto"/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采购</w:t>
      </w:r>
      <w:r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Futura Book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西文字体，使用在主视觉</w:t>
      </w:r>
      <w:r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logo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、全称</w:t>
      </w:r>
      <w:r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logo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以及</w:t>
      </w:r>
      <w:r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logo</w:t>
      </w: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延展版式。如下所示：</w:t>
      </w:r>
    </w:p>
    <w:p w14:paraId="3B47888E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92C6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textAlignment w:val="auto"/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1、全称版本</w:t>
      </w:r>
    </w:p>
    <w:p w14:paraId="05E6DC47">
      <w:pPr>
        <w:rPr>
          <w:rFonts w:ascii="宋体" w:hAnsi="宋体" w:eastAsia="宋体" w:cs="宋体"/>
          <w:sz w:val="24"/>
          <w:szCs w:val="24"/>
        </w:rPr>
      </w:pPr>
    </w:p>
    <w:p w14:paraId="3B1C9CA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53150" cy="3600450"/>
            <wp:effectExtent l="0" t="0" r="6350" b="635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B4101F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5630" cy="3475990"/>
            <wp:effectExtent l="0" t="0" r="1270" b="3810"/>
            <wp:docPr id="8" name="图片 8" descr="全称竖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全称竖版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85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textAlignment w:val="auto"/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2、延展版式</w:t>
      </w:r>
    </w:p>
    <w:p w14:paraId="5789F65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466090"/>
            <wp:effectExtent l="0" t="0" r="9525" b="3810"/>
            <wp:docPr id="5" name="图片 5" descr="长款标准色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长款标准色log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5010" cy="3153410"/>
            <wp:effectExtent l="0" t="0" r="8890" b="889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E9E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textAlignment w:val="auto"/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3、方标</w:t>
      </w:r>
    </w:p>
    <w:p w14:paraId="5B1E26A0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24225" cy="2744470"/>
            <wp:effectExtent l="0" t="0" r="3175" b="1143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D98E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textAlignment w:val="auto"/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  <w:t>4、主视觉版</w:t>
      </w:r>
    </w:p>
    <w:p w14:paraId="6D27702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D1D782A">
      <w:pPr>
        <w:pStyle w:val="2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1655445"/>
            <wp:effectExtent l="0" t="0" r="1270" b="8255"/>
            <wp:docPr id="9" name="图片 9" descr="LOGO通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OGO通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29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textAlignment w:val="auto"/>
        <w:rPr>
          <w:rFonts w:hint="eastAsia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</w:pPr>
    </w:p>
    <w:p w14:paraId="17730D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3" w:firstLineChars="200"/>
        <w:textAlignment w:val="auto"/>
        <w:rPr>
          <w:rFonts w:hint="default" w:ascii="仿宋_GB2312" w:hAnsi="仿宋_GB2312" w:eastAsia="仿宋_GB2312" w:cs="黑体"/>
          <w:b w:val="0"/>
          <w:bCs w:val="0"/>
          <w:i w:val="0"/>
          <w:iCs w:val="0"/>
          <w:sz w:val="32"/>
          <w:szCs w:val="32"/>
          <w:highlight w:val="none"/>
          <w:lang w:val="en-US" w:eastAsia="zh-CN"/>
        </w:rPr>
      </w:pPr>
      <w:r>
        <w:rPr>
          <w:rFonts w:hint="eastAsia" w:eastAsia="仿宋_GB2312" w:cs="Times New Roman"/>
          <w:b/>
          <w:bCs/>
          <w:kern w:val="2"/>
          <w:sz w:val="32"/>
          <w:szCs w:val="32"/>
          <w:highlight w:val="none"/>
          <w:lang w:val="en-US" w:eastAsia="zh-CN" w:bidi="ar"/>
        </w:rPr>
        <w:t>需提供代理字体授权证明或著作权证明等证明材料</w:t>
      </w:r>
      <w:r>
        <w:rPr>
          <w:rFonts w:hint="eastAsia" w:eastAsia="仿宋_GB2312" w:cs="Times New Roman"/>
          <w:kern w:val="2"/>
          <w:sz w:val="32"/>
          <w:szCs w:val="32"/>
          <w:highlight w:val="none"/>
          <w:lang w:val="en-US" w:eastAsia="zh-CN" w:bidi="ar"/>
        </w:rPr>
        <w:t>，无法提供的需出示可代理声明材料并加盖公章。</w:t>
      </w:r>
    </w:p>
    <w:p w14:paraId="6E8F6288">
      <w:pPr>
        <w:ind w:firstLine="640" w:firstLineChars="200"/>
        <w:jc w:val="both"/>
        <w:rPr>
          <w:rFonts w:hint="default" w:ascii="仿宋_GB2312" w:hAnsi="黑体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黑体"/>
          <w:sz w:val="32"/>
          <w:szCs w:val="32"/>
          <w:lang w:val="en-US" w:eastAsia="zh-CN"/>
        </w:rPr>
        <w:t>供应商可根据情况选择标段，也可以同时参加两个标段竞标。</w:t>
      </w:r>
    </w:p>
    <w:p w14:paraId="7F4A12DB">
      <w:pPr>
        <w:numPr>
          <w:ilvl w:val="0"/>
          <w:numId w:val="0"/>
        </w:numPr>
        <w:snapToGrid/>
        <w:spacing w:line="336" w:lineRule="auto"/>
        <w:ind w:left="0" w:leftChars="0" w:right="0" w:rightChars="0" w:firstLine="640" w:firstLineChars="200"/>
        <w:jc w:val="both"/>
        <w:outlineLvl w:val="0"/>
        <w:rPr>
          <w:rFonts w:ascii="黑体" w:hAnsi="黑体" w:eastAsia="黑体" w:cs="楷体_GB2312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楷体_GB2312"/>
          <w:b w:val="0"/>
          <w:bCs w:val="0"/>
          <w:i w:val="0"/>
          <w:iCs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楷体_GB2312"/>
          <w:b w:val="0"/>
          <w:bCs w:val="0"/>
          <w:i w:val="0"/>
          <w:iCs w:val="0"/>
          <w:sz w:val="32"/>
          <w:szCs w:val="32"/>
        </w:rPr>
        <w:t>需执行的国家、行业、地方或其他标准规范</w:t>
      </w:r>
    </w:p>
    <w:p w14:paraId="4DFE0818">
      <w:pPr>
        <w:numPr>
          <w:ilvl w:val="0"/>
          <w:numId w:val="2"/>
        </w:numPr>
        <w:spacing w:line="336" w:lineRule="auto"/>
        <w:ind w:firstLine="640" w:firstLineChars="200"/>
        <w:rPr>
          <w:rFonts w:ascii="仿宋_GB2312" w:hAnsi="仿宋_GB2312" w:eastAsia="仿宋_GB2312" w:cs="黑体"/>
          <w:sz w:val="32"/>
          <w:szCs w:val="32"/>
        </w:rPr>
      </w:pPr>
      <w:r>
        <w:rPr>
          <w:rFonts w:hint="eastAsia" w:ascii="仿宋_GB2312" w:hAnsi="仿宋_GB2312" w:eastAsia="仿宋_GB2312" w:cs="黑体"/>
          <w:sz w:val="32"/>
          <w:szCs w:val="32"/>
          <w:lang w:val="en-US" w:eastAsia="zh-CN"/>
        </w:rPr>
        <w:t>中文字体应</w:t>
      </w:r>
      <w:r>
        <w:rPr>
          <w:rFonts w:hint="eastAsia" w:ascii="仿宋_GB2312" w:hAnsi="仿宋_GB2312" w:eastAsia="仿宋_GB2312" w:cs="黑体"/>
          <w:sz w:val="32"/>
          <w:szCs w:val="32"/>
        </w:rPr>
        <w:t>符合国家颁布的字形规范，字形美观、性能稳定、适应面广，运行速度快，且贮存容量小，支持GB、GBK、GB18030、BIG5以及JIS、KSC等编码体系，可以提供True</w:t>
      </w:r>
      <w:r>
        <w:rPr>
          <w:rFonts w:ascii="仿宋_GB2312" w:hAnsi="仿宋_GB2312" w:eastAsia="仿宋_GB2312" w:cs="黑体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黑体"/>
          <w:sz w:val="32"/>
          <w:szCs w:val="32"/>
        </w:rPr>
        <w:t>type,PostScript Type1、Type0、CID等各种通用格式字库</w:t>
      </w:r>
      <w:r>
        <w:rPr>
          <w:rFonts w:hint="eastAsia" w:ascii="仿宋_GB2312" w:hAnsi="仿宋_GB2312" w:eastAsia="仿宋_GB2312" w:cs="黑体"/>
          <w:b/>
          <w:bCs/>
          <w:sz w:val="32"/>
          <w:szCs w:val="32"/>
        </w:rPr>
        <w:t>。</w:t>
      </w:r>
      <w:r>
        <w:rPr>
          <w:rFonts w:ascii="仿宋_GB2312" w:hAnsi="仿宋_GB2312" w:eastAsia="仿宋_GB2312" w:cs="黑体"/>
          <w:sz w:val="32"/>
          <w:szCs w:val="32"/>
        </w:rPr>
        <w:t xml:space="preserve"> </w:t>
      </w:r>
    </w:p>
    <w:p w14:paraId="661F0DB9">
      <w:pPr>
        <w:numPr>
          <w:ilvl w:val="0"/>
          <w:numId w:val="0"/>
        </w:numPr>
        <w:snapToGrid/>
        <w:spacing w:line="336" w:lineRule="auto"/>
        <w:ind w:left="0" w:leftChars="0" w:right="0" w:rightChars="0" w:firstLine="640" w:firstLineChars="200"/>
        <w:jc w:val="both"/>
        <w:outlineLvl w:val="0"/>
        <w:rPr>
          <w:rFonts w:ascii="黑体" w:hAnsi="黑体" w:eastAsia="黑体" w:cs="楷体_GB2312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楷体_GB2312"/>
          <w:b w:val="0"/>
          <w:bCs w:val="0"/>
          <w:i w:val="0"/>
          <w:iCs w:val="0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楷体_GB2312"/>
          <w:b w:val="0"/>
          <w:bCs w:val="0"/>
          <w:i w:val="0"/>
          <w:iCs w:val="0"/>
          <w:sz w:val="32"/>
          <w:szCs w:val="32"/>
        </w:rPr>
        <w:t>需满足的数量、质量（包含对品质、档次的描述）、安全、技术规格等需求</w:t>
      </w:r>
    </w:p>
    <w:p w14:paraId="2B9E8496">
      <w:pPr>
        <w:numPr>
          <w:ilvl w:val="0"/>
          <w:numId w:val="3"/>
        </w:numPr>
        <w:spacing w:line="336" w:lineRule="auto"/>
        <w:ind w:firstLine="640" w:firstLineChars="200"/>
        <w:rPr>
          <w:rFonts w:ascii="仿宋_GB2312" w:hAnsi="仿宋_GB2312" w:eastAsia="仿宋_GB2312" w:cs="黑体"/>
          <w:sz w:val="32"/>
          <w:szCs w:val="32"/>
        </w:rPr>
      </w:pPr>
      <w:r>
        <w:rPr>
          <w:rFonts w:ascii="仿宋_GB2312" w:hAnsi="仿宋_GB2312" w:eastAsia="仿宋_GB2312" w:cs="黑体"/>
          <w:sz w:val="32"/>
          <w:szCs w:val="32"/>
        </w:rPr>
        <w:t>字库支持静默安装模式，并可以用智能终端管理系统对终端进行远程</w:t>
      </w:r>
      <w:r>
        <w:rPr>
          <w:rFonts w:hint="eastAsia" w:ascii="仿宋_GB2312" w:hAnsi="仿宋_GB2312" w:eastAsia="仿宋_GB2312" w:cs="黑体"/>
          <w:sz w:val="32"/>
          <w:szCs w:val="32"/>
        </w:rPr>
        <w:t>、批量升级。字库具有可扩展性，在需要的时候可以对字库进行扩充。字体软件可在Windows XP、Windows Vista、Windows7、 Windows 8、Windows 10、Windows Server 2003、Windows Server 2008、Windows Server 2012系列等操作系统中使用输出打印，我公司及其分支机构范围内不限使用数量和使用期限。</w:t>
      </w:r>
    </w:p>
    <w:p w14:paraId="4C9569B5">
      <w:pPr>
        <w:numPr>
          <w:ilvl w:val="0"/>
          <w:numId w:val="0"/>
        </w:numPr>
        <w:snapToGrid/>
        <w:spacing w:line="336" w:lineRule="auto"/>
        <w:ind w:left="0" w:leftChars="0" w:right="0" w:rightChars="0" w:firstLine="640" w:firstLineChars="200"/>
        <w:jc w:val="both"/>
        <w:outlineLvl w:val="0"/>
        <w:rPr>
          <w:rFonts w:ascii="黑体" w:hAnsi="黑体" w:eastAsia="黑体" w:cs="楷体_GB2312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楷体_GB2312"/>
          <w:b w:val="0"/>
          <w:bCs w:val="0"/>
          <w:i w:val="0"/>
          <w:iCs w:val="0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楷体_GB2312"/>
          <w:b w:val="0"/>
          <w:bCs w:val="0"/>
          <w:i w:val="0"/>
          <w:iCs w:val="0"/>
          <w:sz w:val="32"/>
          <w:szCs w:val="32"/>
        </w:rPr>
        <w:t>需满足的服务标准、期限、效率等要求</w:t>
      </w:r>
    </w:p>
    <w:p w14:paraId="6500E769">
      <w:pPr>
        <w:numPr>
          <w:ilvl w:val="0"/>
          <w:numId w:val="4"/>
        </w:numPr>
        <w:spacing w:line="336" w:lineRule="auto"/>
        <w:ind w:firstLine="640" w:firstLineChars="200"/>
        <w:rPr>
          <w:rFonts w:ascii="仿宋_GB2312" w:hAnsi="仿宋_GB2312" w:eastAsia="仿宋_GB2312" w:cs="仿宋"/>
          <w:sz w:val="32"/>
          <w:szCs w:val="32"/>
        </w:rPr>
      </w:pPr>
      <w:r>
        <w:rPr>
          <w:rFonts w:hint="eastAsia" w:ascii="仿宋_GB2312" w:hAnsi="仿宋_GB2312" w:eastAsia="仿宋_GB2312" w:cs="仿宋"/>
          <w:sz w:val="32"/>
          <w:szCs w:val="32"/>
        </w:rPr>
        <w:t>本次采购字体版权为永久字体版权，不限发布时间，发布地点，发布渠道，拥有全球授权。</w:t>
      </w:r>
    </w:p>
    <w:p w14:paraId="60D62F16">
      <w:pPr>
        <w:spacing w:line="336" w:lineRule="auto"/>
        <w:ind w:firstLine="640" w:firstLineChars="200"/>
        <w:rPr>
          <w:rFonts w:ascii="仿宋_GB2312" w:hAnsi="仿宋_GB2312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Times New Roman"/>
          <w:color w:val="000000" w:themeColor="text1"/>
          <w:kern w:val="0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、供应商应保证向采购人提供必要的技术支持，使其正常使用被许可字库。对于采购人提出的支持要求，供应商需在5个工作日内提供服务或者重新提供新版本。</w:t>
      </w:r>
    </w:p>
    <w:p w14:paraId="548D0282">
      <w:pPr>
        <w:spacing w:line="336" w:lineRule="auto"/>
        <w:ind w:firstLine="64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仿宋_GB2312" w:hAnsi="仿宋_GB2312" w:eastAsia="仿宋_GB2312" w:cs="Times New Roman"/>
          <w:color w:val="000000" w:themeColor="text1"/>
          <w:kern w:val="0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、若被许可字库产品中存在错误，供应商应免费进行修改并重新提供新版本。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CFBDD8"/>
    <w:multiLevelType w:val="singleLevel"/>
    <w:tmpl w:val="0FCFBDD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4265133"/>
    <w:multiLevelType w:val="singleLevel"/>
    <w:tmpl w:val="6426513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0B56E25"/>
    <w:multiLevelType w:val="singleLevel"/>
    <w:tmpl w:val="70B56E2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D63DE1B"/>
    <w:multiLevelType w:val="singleLevel"/>
    <w:tmpl w:val="7D63DE1B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dit="forms" w:enforcement="1" w:cryptProviderType="rsaFull" w:cryptAlgorithmClass="hash" w:cryptAlgorithmType="typeAny" w:cryptAlgorithmSid="4" w:cryptSpinCount="0" w:hash="msff1dJt1Dpz6pQmFCQP+TR89jE=" w:salt="01yglhHM+xmt6HbMNtovyQ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wOGYxYTM0MDE0N2E0ZmFkZTQ2ZjQ4ZDQwMDFhODEifQ=="/>
  </w:docVars>
  <w:rsids>
    <w:rsidRoot w:val="18A62129"/>
    <w:rsid w:val="18A62129"/>
    <w:rsid w:val="209D4F4E"/>
    <w:rsid w:val="212F1973"/>
    <w:rsid w:val="2D353147"/>
    <w:rsid w:val="345B7B04"/>
    <w:rsid w:val="37D23E6D"/>
    <w:rsid w:val="3E7B20BB"/>
    <w:rsid w:val="487A0BA5"/>
    <w:rsid w:val="745D327B"/>
    <w:rsid w:val="76EE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tabs>
        <w:tab w:val="right" w:leader="dot" w:pos="8494"/>
      </w:tabs>
      <w:ind w:firstLine="360" w:firstLineChars="15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959</Words>
  <Characters>1109</Characters>
  <Lines>0</Lines>
  <Paragraphs>0</Paragraphs>
  <TotalTime>1</TotalTime>
  <ScaleCrop>false</ScaleCrop>
  <LinksUpToDate>false</LinksUpToDate>
  <CharactersWithSpaces>1126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2024-07-25T02:08:00Z</dcterms:created>
  <dc:creator>shaunj</dc:creator>
  <cp:lastModifiedBy>魚</cp:lastModifiedBy>
  <dcterms:modified xsi:type="dcterms:W3CDTF">2024-10-15T01:15:34Z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B287F23893C44E8E8165403797D0167E_13</vt:lpwstr>
  </property>
</Properties>
</file>