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3"/>
        </w:numPr>
        <w:spacing w:line="360" w:lineRule="auto"/>
        <w:rPr>
          <w:b/>
          <w:bCs/>
        </w:rPr>
      </w:pPr>
      <w:bookmarkStart w:id="1" w:name="_GoBack"/>
      <w:bookmarkEnd w:id="1"/>
      <w:bookmarkStart w:id="0" w:name="_Toc25875"/>
      <w:r>
        <w:rPr>
          <w:rFonts w:hint="eastAsia"/>
          <w:b/>
          <w:bCs/>
        </w:rPr>
        <w:t>数据采集工作站技术要求</w:t>
      </w:r>
    </w:p>
    <w:p>
      <w:pPr>
        <w:numPr>
          <w:ilvl w:val="0"/>
          <w:numId w:val="4"/>
        </w:numPr>
        <w:adjustRightInd w:val="0"/>
        <w:snapToGrid w:val="0"/>
        <w:spacing w:line="360" w:lineRule="auto"/>
      </w:pPr>
      <w:r>
        <w:rPr>
          <w:rFonts w:hint="eastAsia" w:ascii="汉仪叶叶相思体简" w:hAnsi="汉仪叶叶相思体简" w:eastAsia="汉仪叶叶相思体简" w:cs="汉仪叶叶相思体简"/>
          <w:szCs w:val="21"/>
        </w:rPr>
        <w:t>★</w:t>
      </w:r>
      <w:r>
        <w:rPr>
          <w:rFonts w:hint="eastAsia"/>
        </w:rPr>
        <w:t>外观结构：</w:t>
      </w:r>
      <w:r>
        <w:rPr>
          <w:rFonts w:hint="eastAsia"/>
          <w:lang w:eastAsia="zh-Hans"/>
        </w:rPr>
        <w:t>表面不应有明显的凹痕、划伤、裂缝变形和污染等。表面涂层均匀，不应起泡、龟裂、脱落和磨损，金属零部件无锈蚀及其他机械损伤</w:t>
      </w:r>
      <w:r>
        <w:rPr>
          <w:rFonts w:hint="eastAsia"/>
        </w:rPr>
        <w:t>。立柜式设计，</w:t>
      </w:r>
      <w:r>
        <w:rPr>
          <w:rFonts w:hint="eastAsia"/>
          <w:lang w:eastAsia="zh-Hans"/>
        </w:rPr>
        <w:t>应具备鼠标、键盘</w:t>
      </w:r>
      <w:r>
        <w:rPr>
          <w:rFonts w:hint="eastAsia"/>
        </w:rPr>
        <w:t>、4个360度</w:t>
      </w:r>
      <w:r>
        <w:rPr>
          <w:rFonts w:hint="eastAsia"/>
          <w:lang w:eastAsia="zh-Hans"/>
        </w:rPr>
        <w:t>移动脚轮</w:t>
      </w:r>
      <w:r>
        <w:rPr>
          <w:rFonts w:hint="eastAsia"/>
        </w:rPr>
        <w:t>。</w:t>
      </w:r>
    </w:p>
    <w:p>
      <w:pPr>
        <w:numPr>
          <w:ilvl w:val="0"/>
          <w:numId w:val="4"/>
        </w:numPr>
        <w:adjustRightInd w:val="0"/>
        <w:snapToGrid w:val="0"/>
        <w:spacing w:line="360" w:lineRule="auto"/>
      </w:pPr>
      <w:r>
        <w:rPr>
          <w:rFonts w:hint="eastAsia"/>
          <w:lang w:eastAsia="zh-Hans"/>
        </w:rPr>
        <w:t>内存</w:t>
      </w:r>
      <w:r>
        <w:t>≥</w:t>
      </w:r>
      <w:r>
        <w:rPr>
          <w:rFonts w:hint="eastAsia"/>
        </w:rPr>
        <w:t xml:space="preserve"> 8G，</w:t>
      </w:r>
      <w:r>
        <w:rPr>
          <w:lang w:eastAsia="zh-Hans"/>
        </w:rPr>
        <w:t>存储容量</w:t>
      </w:r>
      <w:r>
        <w:rPr>
          <w:rFonts w:hint="eastAsia"/>
        </w:rPr>
        <w:t>：</w:t>
      </w:r>
      <w:r>
        <w:t>≥</w:t>
      </w:r>
      <w:r>
        <w:rPr>
          <w:rFonts w:hint="eastAsia"/>
        </w:rPr>
        <w:t xml:space="preserve"> </w:t>
      </w:r>
      <w:r>
        <w:rPr>
          <w:rFonts w:hint="eastAsia"/>
          <w:color w:val="FF0000"/>
        </w:rPr>
        <w:t>10</w:t>
      </w:r>
      <w:r>
        <w:rPr>
          <w:color w:val="FF0000"/>
        </w:rPr>
        <w:t>T</w:t>
      </w:r>
      <w:r>
        <w:rPr>
          <w:rFonts w:hint="eastAsia"/>
          <w:color w:val="FF0000"/>
        </w:rPr>
        <w:t>（固态硬盘），原装固态硬盘单个容量≥ 256G</w:t>
      </w:r>
      <w:r>
        <w:t>。</w:t>
      </w:r>
    </w:p>
    <w:p>
      <w:pPr>
        <w:numPr>
          <w:ilvl w:val="0"/>
          <w:numId w:val="4"/>
        </w:numPr>
        <w:adjustRightInd w:val="0"/>
        <w:snapToGrid w:val="0"/>
        <w:spacing w:line="360" w:lineRule="auto"/>
      </w:pPr>
      <w:r>
        <w:rPr>
          <w:rFonts w:hint="eastAsia"/>
        </w:rPr>
        <w:t>显示屏：应采用触摸屏，显示屏尺寸应≥19寸，显示屏分辨率应≥1280x1024。</w:t>
      </w:r>
    </w:p>
    <w:p>
      <w:pPr>
        <w:numPr>
          <w:ilvl w:val="0"/>
          <w:numId w:val="4"/>
        </w:numPr>
        <w:adjustRightInd w:val="0"/>
        <w:snapToGrid w:val="0"/>
        <w:spacing w:line="360" w:lineRule="auto"/>
        <w:rPr>
          <w:rFonts w:cstheme="minorBidi"/>
          <w:szCs w:val="24"/>
        </w:rPr>
      </w:pPr>
      <w:r>
        <w:rPr>
          <w:lang w:eastAsia="zh-TW"/>
        </w:rPr>
        <w:t>接入注册功能</w:t>
      </w:r>
      <w:r>
        <w:rPr>
          <w:rFonts w:hint="eastAsia"/>
        </w:rPr>
        <w:t>：</w:t>
      </w:r>
      <w:r>
        <w:t>执法记录仪接入执法数据采集设备时，应能获取执法记录仪的产品序号和警号，并查验该产品序号与警号是否进行了关联配置；如未关联，应能通过管理员密码验证和关联配置完成注册。</w:t>
      </w:r>
    </w:p>
    <w:p>
      <w:pPr>
        <w:numPr>
          <w:ilvl w:val="0"/>
          <w:numId w:val="4"/>
        </w:numPr>
        <w:adjustRightInd w:val="0"/>
        <w:snapToGrid w:val="0"/>
        <w:spacing w:line="360" w:lineRule="auto"/>
      </w:pPr>
      <w:r>
        <w:rPr>
          <w:rFonts w:hint="eastAsia" w:ascii="汉仪叶叶相思体简" w:hAnsi="汉仪叶叶相思体简" w:eastAsia="汉仪叶叶相思体简" w:cs="汉仪叶叶相思体简"/>
          <w:szCs w:val="21"/>
        </w:rPr>
        <w:t>★</w:t>
      </w:r>
      <w:r>
        <w:rPr>
          <w:rFonts w:hint="eastAsia"/>
        </w:rPr>
        <w:t>接入能力：</w:t>
      </w:r>
      <w:r>
        <w:rPr>
          <w:szCs w:val="21"/>
        </w:rPr>
        <w:t>可同时接入</w:t>
      </w:r>
      <w:r>
        <w:rPr>
          <w:rFonts w:ascii="宋体" w:hAnsi="宋体"/>
          <w:szCs w:val="21"/>
        </w:rPr>
        <w:t>≥</w:t>
      </w:r>
      <w:r>
        <w:rPr>
          <w:rFonts w:hint="eastAsia"/>
          <w:color w:val="FF0000"/>
          <w:szCs w:val="21"/>
        </w:rPr>
        <w:t>20</w:t>
      </w:r>
      <w:r>
        <w:rPr>
          <w:color w:val="FF0000"/>
          <w:szCs w:val="21"/>
        </w:rPr>
        <w:t>台</w:t>
      </w:r>
      <w:r>
        <w:rPr>
          <w:szCs w:val="21"/>
        </w:rPr>
        <w:t>执法记录仪进行数据采集</w:t>
      </w:r>
      <w:r>
        <w:rPr>
          <w:rFonts w:hint="eastAsia"/>
          <w:szCs w:val="21"/>
        </w:rPr>
        <w:t>。</w:t>
      </w:r>
    </w:p>
    <w:p>
      <w:pPr>
        <w:numPr>
          <w:ilvl w:val="0"/>
          <w:numId w:val="4"/>
        </w:numPr>
        <w:adjustRightInd w:val="0"/>
        <w:snapToGrid w:val="0"/>
        <w:spacing w:line="360" w:lineRule="auto"/>
      </w:pPr>
      <w:r>
        <w:rPr>
          <w:rFonts w:hint="eastAsia" w:ascii="汉仪叶叶相思体简" w:hAnsi="汉仪叶叶相思体简" w:eastAsia="汉仪叶叶相思体简" w:cs="汉仪叶叶相思体简"/>
          <w:szCs w:val="21"/>
        </w:rPr>
        <w:t>★</w:t>
      </w:r>
      <w:r>
        <w:t>数据采集功能</w:t>
      </w:r>
      <w:r>
        <w:rPr>
          <w:rFonts w:hint="eastAsia"/>
        </w:rPr>
        <w:t>：</w:t>
      </w:r>
      <w:r>
        <w:t>应能自动采集已注册的执法记录仪的视音频、音频、照片和日志等</w:t>
      </w:r>
      <w:r>
        <w:rPr>
          <w:rFonts w:hint="eastAsia"/>
        </w:rPr>
        <w:t>MP4/JPG/WAV/TXT格式的数据</w:t>
      </w:r>
      <w:r>
        <w:t>，</w:t>
      </w:r>
      <w:r>
        <w:rPr>
          <w:rFonts w:hint="eastAsia"/>
        </w:rPr>
        <w:t>非MP4/JPG/WAV/TXT格式的数据不予采集。</w:t>
      </w:r>
      <w:r>
        <w:t>应能验证采集到的数据与执法记录仪存储的原始数据的一致性，并保证采集的数据应能正常浏览。</w:t>
      </w:r>
    </w:p>
    <w:p>
      <w:pPr>
        <w:numPr>
          <w:ilvl w:val="0"/>
          <w:numId w:val="4"/>
        </w:numPr>
        <w:adjustRightInd w:val="0"/>
        <w:snapToGrid w:val="0"/>
        <w:spacing w:line="360" w:lineRule="auto"/>
        <w:rPr>
          <w:rFonts w:cstheme="minorBidi"/>
          <w:szCs w:val="24"/>
        </w:rPr>
      </w:pPr>
      <w:r>
        <w:t>数据浏览功能</w:t>
      </w:r>
      <w:r>
        <w:rPr>
          <w:rFonts w:hint="eastAsia"/>
        </w:rPr>
        <w:t>：</w:t>
      </w:r>
      <w:r>
        <w:t>应能浏览已采集的视音频、音频、照片和日志等数据。</w:t>
      </w:r>
    </w:p>
    <w:p>
      <w:pPr>
        <w:numPr>
          <w:ilvl w:val="0"/>
          <w:numId w:val="4"/>
        </w:numPr>
        <w:adjustRightInd w:val="0"/>
        <w:snapToGrid w:val="0"/>
        <w:spacing w:line="360" w:lineRule="auto"/>
        <w:rPr>
          <w:rFonts w:cstheme="minorBidi"/>
          <w:szCs w:val="24"/>
        </w:rPr>
      </w:pPr>
      <w:r>
        <w:rPr>
          <w:rFonts w:hint="eastAsia" w:ascii="汉仪叶叶相思体简" w:hAnsi="汉仪叶叶相思体简" w:eastAsia="汉仪叶叶相思体简" w:cs="汉仪叶叶相思体简"/>
          <w:szCs w:val="21"/>
        </w:rPr>
        <w:t>★</w:t>
      </w:r>
      <w:r>
        <w:t>数据上传功能</w:t>
      </w:r>
      <w:r>
        <w:rPr>
          <w:rFonts w:hint="eastAsia"/>
        </w:rPr>
        <w:t>：</w:t>
      </w:r>
      <w:r>
        <w:t>应能自动或手动上传视音频、音频、照片、日志或索引等数据到管理服务器，应能设置自动上传时间。</w:t>
      </w:r>
      <w:r>
        <w:rPr>
          <w:rFonts w:hint="eastAsia"/>
        </w:rPr>
        <w:t>已采集数据的上传状态可查询、可校验。经校验未上传的数据索引和文件应可重新上传。</w:t>
      </w:r>
    </w:p>
    <w:p>
      <w:pPr>
        <w:numPr>
          <w:ilvl w:val="0"/>
          <w:numId w:val="4"/>
        </w:numPr>
        <w:adjustRightInd w:val="0"/>
        <w:snapToGrid w:val="0"/>
        <w:spacing w:line="360" w:lineRule="auto"/>
        <w:rPr>
          <w:rFonts w:cstheme="minorBidi"/>
          <w:szCs w:val="24"/>
        </w:rPr>
      </w:pPr>
      <w:r>
        <w:t>优先采集功能</w:t>
      </w:r>
      <w:r>
        <w:rPr>
          <w:rFonts w:hint="eastAsia"/>
        </w:rPr>
        <w:t>：</w:t>
      </w:r>
      <w:r>
        <w:t>具有优先采集接口，当此接口接入执法记录仪后，可自动暂停其他接口的数据采集而优先采集此接口的数据</w:t>
      </w:r>
      <w:r>
        <w:rPr>
          <w:rFonts w:hint="eastAsia"/>
        </w:rPr>
        <w:t>。</w:t>
      </w:r>
      <w:r>
        <w:t>优先采集接口数据采集完毕后，可自动恢复其他接口的采集。</w:t>
      </w:r>
    </w:p>
    <w:p>
      <w:pPr>
        <w:numPr>
          <w:ilvl w:val="0"/>
          <w:numId w:val="4"/>
        </w:numPr>
        <w:adjustRightInd w:val="0"/>
        <w:snapToGrid w:val="0"/>
        <w:spacing w:line="360" w:lineRule="auto"/>
        <w:rPr>
          <w:rFonts w:cstheme="minorBidi"/>
          <w:szCs w:val="24"/>
        </w:rPr>
      </w:pPr>
      <w:r>
        <w:t>时间校正功能</w:t>
      </w:r>
      <w:r>
        <w:rPr>
          <w:rFonts w:hint="eastAsia"/>
        </w:rPr>
        <w:t>：</w:t>
      </w:r>
      <w:r>
        <w:t>应能自动对接入的执法记录仪进行时间校正，时间应精确到年、月、日、时、分、秒。</w:t>
      </w:r>
    </w:p>
    <w:p>
      <w:pPr>
        <w:numPr>
          <w:ilvl w:val="0"/>
          <w:numId w:val="4"/>
        </w:numPr>
        <w:adjustRightInd w:val="0"/>
        <w:snapToGrid w:val="0"/>
        <w:spacing w:line="360" w:lineRule="auto"/>
        <w:rPr>
          <w:rFonts w:cstheme="minorBidi"/>
          <w:szCs w:val="24"/>
        </w:rPr>
      </w:pPr>
      <w:r>
        <w:t>充电功能</w:t>
      </w:r>
      <w:r>
        <w:rPr>
          <w:rFonts w:hint="eastAsia"/>
        </w:rPr>
        <w:t>：</w:t>
      </w:r>
      <w:r>
        <w:t>应能对接入的执法记录仪进行自动充电并显示充电状态，并能够同时对多个接入的执法记录仪进行充电。</w:t>
      </w:r>
    </w:p>
    <w:p>
      <w:pPr>
        <w:numPr>
          <w:ilvl w:val="0"/>
          <w:numId w:val="4"/>
        </w:numPr>
        <w:adjustRightInd w:val="0"/>
        <w:snapToGrid w:val="0"/>
        <w:spacing w:line="360" w:lineRule="auto"/>
        <w:rPr>
          <w:rFonts w:cstheme="minorBidi"/>
          <w:szCs w:val="24"/>
        </w:rPr>
      </w:pPr>
      <w:r>
        <w:t>数据检索功能</w:t>
      </w:r>
      <w:r>
        <w:rPr>
          <w:rFonts w:hint="eastAsia"/>
        </w:rPr>
        <w:t>：</w:t>
      </w:r>
      <w:r>
        <w:t>应能对已采集的视音频、音频、照片和日志等数据依据执法记录仪产品序号、警号、时间、文件类型及执法记录仪重点标记文件等一种或多种条件进行查询。</w:t>
      </w:r>
      <w:r>
        <w:rPr>
          <w:rFonts w:hint="eastAsia"/>
        </w:rPr>
        <w:t>具有权限的用户，可将检索的文件批量导出至外接存储介质。</w:t>
      </w:r>
    </w:p>
    <w:p>
      <w:pPr>
        <w:numPr>
          <w:ilvl w:val="0"/>
          <w:numId w:val="4"/>
        </w:numPr>
        <w:adjustRightInd w:val="0"/>
        <w:snapToGrid w:val="0"/>
        <w:spacing w:line="360" w:lineRule="auto"/>
      </w:pPr>
      <w:r>
        <w:rPr>
          <w:rFonts w:hint="eastAsia" w:ascii="汉仪叶叶相思体简" w:hAnsi="汉仪叶叶相思体简" w:eastAsia="汉仪叶叶相思体简" w:cs="汉仪叶叶相思体简"/>
          <w:szCs w:val="21"/>
        </w:rPr>
        <w:t>★</w:t>
      </w:r>
      <w:r>
        <w:rPr>
          <w:rFonts w:hint="eastAsia"/>
        </w:rPr>
        <w:t>重要标记功能：应能对已采集的数据进行重要标记，具备批量标记功能。</w:t>
      </w:r>
    </w:p>
    <w:p>
      <w:pPr>
        <w:numPr>
          <w:ilvl w:val="0"/>
          <w:numId w:val="4"/>
        </w:numPr>
        <w:adjustRightInd w:val="0"/>
        <w:snapToGrid w:val="0"/>
        <w:spacing w:line="360" w:lineRule="auto"/>
        <w:rPr>
          <w:rFonts w:cstheme="minorBidi"/>
          <w:szCs w:val="24"/>
        </w:rPr>
      </w:pPr>
      <w:r>
        <w:t>数据清空功能</w:t>
      </w:r>
      <w:r>
        <w:rPr>
          <w:rFonts w:hint="eastAsia"/>
        </w:rPr>
        <w:t>：</w:t>
      </w:r>
      <w:r>
        <w:t>应能自动或手动清空已完成数据上传的执法记录仪内部数据。</w:t>
      </w:r>
    </w:p>
    <w:p>
      <w:pPr>
        <w:numPr>
          <w:ilvl w:val="0"/>
          <w:numId w:val="4"/>
        </w:numPr>
        <w:adjustRightInd w:val="0"/>
        <w:snapToGrid w:val="0"/>
        <w:spacing w:line="360" w:lineRule="auto"/>
        <w:rPr>
          <w:rFonts w:cstheme="minorBidi"/>
          <w:szCs w:val="24"/>
        </w:rPr>
      </w:pPr>
      <w:r>
        <w:rPr>
          <w:lang w:eastAsia="zh-Hans"/>
        </w:rPr>
        <w:t>数据</w:t>
      </w:r>
      <w:r>
        <w:rPr>
          <w:rFonts w:hint="eastAsia"/>
        </w:rPr>
        <w:t>自动</w:t>
      </w:r>
      <w:r>
        <w:rPr>
          <w:lang w:eastAsia="zh-Hans"/>
        </w:rPr>
        <w:t>删除功能</w:t>
      </w:r>
      <w:r>
        <w:rPr>
          <w:rFonts w:hint="eastAsia"/>
        </w:rPr>
        <w:t>：</w:t>
      </w:r>
      <w:r>
        <w:t>通过管理软件应能手动或按设定计划自动删除数据，已标记的重点文件不应被自动删除。</w:t>
      </w:r>
    </w:p>
    <w:p>
      <w:pPr>
        <w:numPr>
          <w:ilvl w:val="0"/>
          <w:numId w:val="4"/>
        </w:numPr>
        <w:adjustRightInd w:val="0"/>
        <w:snapToGrid w:val="0"/>
        <w:spacing w:line="360" w:lineRule="auto"/>
      </w:pPr>
      <w:r>
        <w:rPr>
          <w:rFonts w:hint="eastAsia" w:ascii="汉仪叶叶相思体简" w:hAnsi="汉仪叶叶相思体简" w:eastAsia="汉仪叶叶相思体简" w:cs="汉仪叶叶相思体简"/>
          <w:szCs w:val="21"/>
        </w:rPr>
        <w:t>★</w:t>
      </w:r>
      <w:r>
        <w:rPr>
          <w:rFonts w:hint="eastAsia" w:cstheme="minorBidi"/>
          <w:szCs w:val="24"/>
        </w:rPr>
        <w:t>日志功能：</w:t>
      </w:r>
      <w:r>
        <w:rPr>
          <w:rFonts w:hint="eastAsia"/>
        </w:rPr>
        <w:t>应能自动对数据采集设备的运行状态及所有操作进行日志记录，日志内容包括但不限于开/关机、用户登录及操作、记录仪的接入、记录仪数据采集、故障发生/恢复等时间。应能对已采集的记录仪日志进行读取，获取记录仪开关机、开始录像等时间。</w:t>
      </w:r>
    </w:p>
    <w:p>
      <w:pPr>
        <w:numPr>
          <w:ilvl w:val="0"/>
          <w:numId w:val="4"/>
        </w:numPr>
        <w:adjustRightInd w:val="0"/>
        <w:snapToGrid w:val="0"/>
        <w:spacing w:line="360" w:lineRule="auto"/>
        <w:rPr>
          <w:rFonts w:cstheme="minorBidi"/>
          <w:szCs w:val="24"/>
        </w:rPr>
      </w:pPr>
      <w:r>
        <w:rPr>
          <w:rFonts w:hint="eastAsia" w:ascii="汉仪叶叶相思体简" w:hAnsi="汉仪叶叶相思体简" w:eastAsia="汉仪叶叶相思体简" w:cs="汉仪叶叶相思体简"/>
          <w:szCs w:val="21"/>
        </w:rPr>
        <w:t>★</w:t>
      </w:r>
      <w:r>
        <w:t>备份</w:t>
      </w:r>
      <w:r>
        <w:rPr>
          <w:rFonts w:hint="eastAsia"/>
        </w:rPr>
        <w:t>：</w:t>
      </w:r>
      <w:r>
        <w:t>应用于分布式系统的执法数据采集设备应具有冗余备份功能，当有一块磁盘出现故障或被拔出，不应影响数据的正常写入，已存储的数据不应丢失。</w:t>
      </w:r>
      <w:r>
        <w:rPr>
          <w:rFonts w:hint="eastAsia"/>
        </w:rPr>
        <w:t>应能定期对采集软件程序数据库自动进行备份，备份周期及备份保留期限可设。</w:t>
      </w:r>
    </w:p>
    <w:p>
      <w:pPr>
        <w:numPr>
          <w:ilvl w:val="0"/>
          <w:numId w:val="4"/>
        </w:numPr>
        <w:adjustRightInd w:val="0"/>
        <w:snapToGrid w:val="0"/>
        <w:spacing w:line="360" w:lineRule="auto"/>
      </w:pPr>
      <w:r>
        <w:rPr>
          <w:rFonts w:hint="eastAsia" w:ascii="汉仪叶叶相思体简" w:hAnsi="汉仪叶叶相思体简" w:eastAsia="汉仪叶叶相思体简" w:cs="汉仪叶叶相思体简"/>
          <w:szCs w:val="21"/>
        </w:rPr>
        <w:t>★</w:t>
      </w:r>
      <w:r>
        <w:rPr>
          <w:rFonts w:hint="eastAsia"/>
        </w:rPr>
        <w:t>登录安全性：进入执法数据采集设备操作系统界面时应需通过用户名和密码进行身份鉴别。</w:t>
      </w:r>
    </w:p>
    <w:p>
      <w:pPr>
        <w:numPr>
          <w:ilvl w:val="0"/>
          <w:numId w:val="4"/>
        </w:numPr>
        <w:adjustRightInd w:val="0"/>
        <w:snapToGrid w:val="0"/>
        <w:spacing w:line="360" w:lineRule="auto"/>
      </w:pPr>
      <w:r>
        <w:rPr>
          <w:rFonts w:hint="eastAsia"/>
        </w:rPr>
        <w:t>软件升级功能：执法数据采集设备应具备本地升级或通过管理服务器远程升级两种升级模式。</w:t>
      </w:r>
    </w:p>
    <w:p>
      <w:pPr>
        <w:numPr>
          <w:ilvl w:val="0"/>
          <w:numId w:val="4"/>
        </w:numPr>
        <w:adjustRightInd w:val="0"/>
        <w:snapToGrid w:val="0"/>
        <w:spacing w:line="360" w:lineRule="auto"/>
        <w:rPr>
          <w:color w:val="EE0000"/>
        </w:rPr>
      </w:pPr>
      <w:r>
        <w:rPr>
          <w:rFonts w:hint="eastAsia" w:ascii="汉仪叶叶相思体简" w:hAnsi="汉仪叶叶相思体简" w:eastAsia="汉仪叶叶相思体简" w:cs="汉仪叶叶相思体简"/>
          <w:szCs w:val="21"/>
        </w:rPr>
        <w:t>★</w:t>
      </w:r>
      <w:r>
        <w:rPr>
          <w:rFonts w:hint="eastAsia"/>
        </w:rPr>
        <w:t>数据浏览：管理平台应能对视音频、音频进行回放，对照片和日志进行查看。在数据浏览过程中，可查看数据的浏览次数、下载次数、所属部门等属性，并可手动将视频与业务进行关联。在视音频播放过程中，可进行打点操作，并形成打点标记，可通过打点标记进行</w:t>
      </w:r>
      <w:r>
        <w:rPr>
          <w:rFonts w:hint="eastAsia"/>
          <w:spacing w:val="-1"/>
          <w:szCs w:val="21"/>
        </w:rPr>
        <w:t>快速</w:t>
      </w:r>
      <w:r>
        <w:rPr>
          <w:spacing w:val="-1"/>
          <w:szCs w:val="21"/>
        </w:rPr>
        <w:t>浏览</w:t>
      </w:r>
      <w:r>
        <w:rPr>
          <w:rFonts w:hint="eastAsia"/>
        </w:rPr>
        <w:t>。</w:t>
      </w:r>
      <w:r>
        <w:rPr>
          <w:rFonts w:hint="eastAsia"/>
          <w:color w:val="EE0000"/>
        </w:rPr>
        <w:t>具备百千兆网口，提供调试以便内网内远程查询。</w:t>
      </w:r>
    </w:p>
    <w:p>
      <w:pPr>
        <w:numPr>
          <w:ilvl w:val="0"/>
          <w:numId w:val="4"/>
        </w:numPr>
        <w:adjustRightInd w:val="0"/>
        <w:snapToGrid w:val="0"/>
        <w:spacing w:line="360" w:lineRule="auto"/>
        <w:rPr>
          <w:rFonts w:cstheme="minorBidi"/>
          <w:szCs w:val="24"/>
        </w:rPr>
      </w:pPr>
      <w:r>
        <w:rPr>
          <w:rFonts w:hint="eastAsia" w:ascii="汉仪叶叶相思体简" w:hAnsi="汉仪叶叶相思体简" w:eastAsia="汉仪叶叶相思体简" w:cs="汉仪叶叶相思体简"/>
          <w:szCs w:val="21"/>
        </w:rPr>
        <w:t>★</w:t>
      </w:r>
      <w:r>
        <w:rPr>
          <w:rFonts w:hint="eastAsia"/>
        </w:rPr>
        <w:t>案件管理功能：应能通过管理平台新增、修改、查询、删除案件档案，并可设定案件关联机制，将已上传的视音频文件与案件进行自动关联。</w:t>
      </w:r>
    </w:p>
    <w:p>
      <w:pPr>
        <w:numPr>
          <w:ilvl w:val="0"/>
          <w:numId w:val="4"/>
        </w:numPr>
        <w:adjustRightInd w:val="0"/>
        <w:snapToGrid w:val="0"/>
        <w:spacing w:line="360" w:lineRule="auto"/>
        <w:rPr>
          <w:color w:val="EE0000"/>
        </w:rPr>
      </w:pPr>
      <w:r>
        <w:rPr>
          <w:rFonts w:hint="eastAsia" w:ascii="汉仪叶叶相思体简" w:hAnsi="汉仪叶叶相思体简" w:eastAsia="汉仪叶叶相思体简" w:cs="汉仪叶叶相思体简"/>
          <w:color w:val="EE0000"/>
          <w:szCs w:val="21"/>
        </w:rPr>
        <w:t>兼容功能</w:t>
      </w:r>
      <w:r>
        <w:rPr>
          <w:rFonts w:hint="eastAsia"/>
          <w:color w:val="EE0000"/>
        </w:rPr>
        <w:t>：兼容符合公安部《单警执法视音频管理系统》标准的执法记录仪。</w:t>
      </w:r>
    </w:p>
    <w:p>
      <w:pPr>
        <w:numPr>
          <w:ilvl w:val="0"/>
          <w:numId w:val="4"/>
        </w:numPr>
        <w:adjustRightInd w:val="0"/>
        <w:snapToGrid w:val="0"/>
        <w:spacing w:line="360" w:lineRule="auto"/>
        <w:rPr>
          <w:rFonts w:cstheme="minorBidi"/>
          <w:szCs w:val="24"/>
        </w:rPr>
      </w:pPr>
      <w:r>
        <w:t>数据统计功能</w:t>
      </w:r>
      <w:r>
        <w:rPr>
          <w:rFonts w:hint="eastAsia"/>
        </w:rPr>
        <w:t>：</w:t>
      </w:r>
      <w:r>
        <w:t>通过管理软件应能根据执法数据采集设备产品型号和序号代码、使用者姓名、警号、单位名称、单位编号、时间、文件类型、文件标记等中的一种或多种条件对已存储的视音频、音频、照片和日志等数据进行统计。</w:t>
      </w:r>
    </w:p>
    <w:p>
      <w:pPr>
        <w:numPr>
          <w:ilvl w:val="0"/>
          <w:numId w:val="4"/>
        </w:numPr>
        <w:adjustRightInd w:val="0"/>
        <w:snapToGrid w:val="0"/>
        <w:spacing w:line="360" w:lineRule="auto"/>
        <w:rPr>
          <w:rFonts w:cstheme="minorBidi"/>
          <w:szCs w:val="24"/>
        </w:rPr>
      </w:pPr>
      <w:r>
        <w:rPr>
          <w:rFonts w:hint="eastAsia" w:cstheme="minorBidi"/>
          <w:szCs w:val="24"/>
        </w:rPr>
        <w:t>统计趋势图：管理平台应能对时间范围内摄录的视音频文件数量、总时长、标注数、标注时长、标注比率进行统计对比，并以图表展示。</w:t>
      </w:r>
    </w:p>
    <w:p>
      <w:pPr>
        <w:numPr>
          <w:ilvl w:val="0"/>
          <w:numId w:val="4"/>
        </w:numPr>
        <w:adjustRightInd w:val="0"/>
        <w:snapToGrid w:val="0"/>
        <w:spacing w:line="360" w:lineRule="auto"/>
        <w:rPr>
          <w:rFonts w:cstheme="minorBidi"/>
          <w:szCs w:val="24"/>
        </w:rPr>
      </w:pPr>
      <w:r>
        <w:rPr>
          <w:rFonts w:hint="eastAsia" w:cstheme="minorBidi"/>
          <w:szCs w:val="24"/>
        </w:rPr>
        <w:t>统计趋势对比图：管理平台应能对各部门时间范围内上传文件总个数、视频总时长趋势对比，并以图表展示。</w:t>
      </w:r>
    </w:p>
    <w:p>
      <w:pPr>
        <w:numPr>
          <w:ilvl w:val="0"/>
          <w:numId w:val="4"/>
        </w:numPr>
        <w:adjustRightInd w:val="0"/>
        <w:snapToGrid w:val="0"/>
        <w:spacing w:line="360" w:lineRule="auto"/>
        <w:rPr>
          <w:rFonts w:cstheme="minorBidi"/>
          <w:szCs w:val="24"/>
        </w:rPr>
      </w:pPr>
      <w:r>
        <w:rPr>
          <w:rFonts w:hint="eastAsia" w:ascii="汉仪叶叶相思体简" w:hAnsi="汉仪叶叶相思体简" w:eastAsia="汉仪叶叶相思体简" w:cs="汉仪叶叶相思体简"/>
          <w:szCs w:val="21"/>
        </w:rPr>
        <w:t>★</w:t>
      </w:r>
      <w:r>
        <w:rPr>
          <w:rFonts w:hint="eastAsia"/>
        </w:rPr>
        <w:t>集存监控功能：</w:t>
      </w:r>
      <w:r>
        <w:rPr>
          <w:rFonts w:hint="eastAsia"/>
          <w:lang w:eastAsia="zh-Hans"/>
        </w:rPr>
        <w:t>管理平台应</w:t>
      </w:r>
      <w:r>
        <w:rPr>
          <w:rFonts w:hint="eastAsia"/>
        </w:rPr>
        <w:t>监控</w:t>
      </w:r>
      <w:r>
        <w:rPr>
          <w:rFonts w:hint="eastAsia"/>
          <w:lang w:eastAsia="zh-Hans"/>
        </w:rPr>
        <w:t>集存文件</w:t>
      </w:r>
      <w:r>
        <w:rPr>
          <w:rFonts w:hint="eastAsia"/>
        </w:rPr>
        <w:t>应</w:t>
      </w:r>
      <w:r>
        <w:rPr>
          <w:rFonts w:hint="eastAsia"/>
          <w:lang w:eastAsia="zh-Hans"/>
        </w:rPr>
        <w:t>上传</w:t>
      </w:r>
      <w:r>
        <w:rPr>
          <w:rFonts w:hint="eastAsia"/>
        </w:rPr>
        <w:t>文件数量</w:t>
      </w:r>
      <w:r>
        <w:rPr>
          <w:rFonts w:hint="eastAsia"/>
          <w:lang w:eastAsia="zh-Hans"/>
        </w:rPr>
        <w:t>、容量</w:t>
      </w:r>
      <w:r>
        <w:rPr>
          <w:rFonts w:hint="eastAsia"/>
        </w:rPr>
        <w:t>，应</w:t>
      </w:r>
      <w:r>
        <w:rPr>
          <w:rFonts w:hint="eastAsia"/>
          <w:lang w:eastAsia="zh-Hans"/>
        </w:rPr>
        <w:t>清理文件</w:t>
      </w:r>
      <w:r>
        <w:rPr>
          <w:rFonts w:hint="eastAsia"/>
        </w:rPr>
        <w:t>数量</w:t>
      </w:r>
      <w:r>
        <w:rPr>
          <w:rFonts w:hint="eastAsia"/>
          <w:lang w:eastAsia="zh-Hans"/>
        </w:rPr>
        <w:t>、</w:t>
      </w:r>
      <w:r>
        <w:rPr>
          <w:rFonts w:hint="eastAsia"/>
        </w:rPr>
        <w:t>容量，监控集存</w:t>
      </w:r>
      <w:r>
        <w:rPr>
          <w:rFonts w:hint="eastAsia"/>
          <w:lang w:eastAsia="zh-Hans"/>
        </w:rPr>
        <w:t>总容量、剩余容量、容量使用率等，并能以电子表格的形式导出</w:t>
      </w:r>
      <w:r>
        <w:rPr>
          <w:rFonts w:hint="eastAsia"/>
        </w:rPr>
        <w:t>。</w:t>
      </w:r>
    </w:p>
    <w:p>
      <w:pPr>
        <w:numPr>
          <w:ilvl w:val="0"/>
          <w:numId w:val="4"/>
        </w:numPr>
        <w:adjustRightInd w:val="0"/>
        <w:snapToGrid w:val="0"/>
        <w:spacing w:line="360" w:lineRule="auto"/>
      </w:pPr>
      <w:r>
        <w:rPr>
          <w:rFonts w:hint="eastAsia"/>
        </w:rPr>
        <w:t>采集设备在线监测功能：管理平台应能实时检测系统中执法数据数据采集设备总数及在线数，并可实时查看在线设备IP地址、设备编号、所属部门、软件版本、设备状态、运行状态等信息。</w:t>
      </w:r>
    </w:p>
    <w:p>
      <w:pPr>
        <w:numPr>
          <w:ilvl w:val="0"/>
          <w:numId w:val="4"/>
        </w:numPr>
        <w:adjustRightInd w:val="0"/>
        <w:snapToGrid w:val="0"/>
        <w:spacing w:line="360" w:lineRule="auto"/>
      </w:pPr>
      <w:r>
        <w:rPr>
          <w:rFonts w:hint="eastAsia"/>
        </w:rPr>
        <w:t>系统服务监测：管理平台应能对服务器系统资源进行实时监测，可实时检测服务器的CPU、内存状态，服务器信息、磁盘使用信息，端口使用情况、使用客户端数量、运行时长等。</w:t>
      </w:r>
    </w:p>
    <w:p>
      <w:pPr>
        <w:numPr>
          <w:ilvl w:val="0"/>
          <w:numId w:val="4"/>
        </w:numPr>
        <w:adjustRightInd w:val="0"/>
        <w:snapToGrid w:val="0"/>
        <w:spacing w:line="360" w:lineRule="auto"/>
        <w:rPr>
          <w:rFonts w:cstheme="minorBidi"/>
          <w:szCs w:val="24"/>
        </w:rPr>
      </w:pPr>
      <w:r>
        <w:rPr>
          <w:rFonts w:hint="eastAsia" w:ascii="汉仪叶叶相思体简" w:hAnsi="汉仪叶叶相思体简" w:eastAsia="汉仪叶叶相思体简" w:cs="汉仪叶叶相思体简"/>
          <w:szCs w:val="21"/>
        </w:rPr>
        <w:t>★</w:t>
      </w:r>
      <w:r>
        <w:rPr>
          <w:rFonts w:hint="eastAsia"/>
        </w:rPr>
        <w:t>系统预警：当出现数据采集设备离线、存储空间不足、CPU 、内存占用异常，数据异常积压未上传，用户未长时间未登录时，管理平台应自动发出预警信息。具备权限的用户可通过管理平台对预警信息进行处理，并留存处理方案。</w:t>
      </w:r>
    </w:p>
    <w:p>
      <w:pPr>
        <w:numPr>
          <w:ilvl w:val="0"/>
          <w:numId w:val="4"/>
        </w:numPr>
        <w:adjustRightInd w:val="0"/>
        <w:snapToGrid w:val="0"/>
        <w:spacing w:line="360" w:lineRule="auto"/>
        <w:rPr>
          <w:rFonts w:cstheme="minorBidi"/>
          <w:szCs w:val="24"/>
        </w:rPr>
      </w:pPr>
      <w:r>
        <w:rPr>
          <w:rFonts w:hint="eastAsia" w:ascii="汉仪叶叶相思体简" w:hAnsi="汉仪叶叶相思体简" w:eastAsia="汉仪叶叶相思体简" w:cs="汉仪叶叶相思体简"/>
          <w:szCs w:val="21"/>
        </w:rPr>
        <w:t>★</w:t>
      </w:r>
      <w:r>
        <w:rPr>
          <w:rFonts w:hint="eastAsia"/>
        </w:rPr>
        <w:t>系统安全：系统登录时应使用用户名和密码进行身份鉴别，密码设置应具有复杂程度要求。对高频访问、非规定时间段登录、核心功能操作、非常规业务操作、黑名单解锁等操作留痕。如连续登录失败超过系统规定值，则锁定账号。需高级权限管理解锁后恢复账号登录权限。被纳入黑名单的IP限制登录号段的账号登录，将被禁止访问。</w:t>
      </w:r>
    </w:p>
    <w:p>
      <w:pPr>
        <w:numPr>
          <w:ilvl w:val="0"/>
          <w:numId w:val="4"/>
        </w:numPr>
        <w:adjustRightInd w:val="0"/>
        <w:snapToGrid w:val="0"/>
        <w:spacing w:line="360" w:lineRule="auto"/>
      </w:pPr>
      <w:r>
        <w:rPr>
          <w:rFonts w:hint="eastAsia" w:ascii="汉仪叶叶相思体简" w:hAnsi="汉仪叶叶相思体简" w:eastAsia="汉仪叶叶相思体简" w:cs="汉仪叶叶相思体简"/>
          <w:szCs w:val="21"/>
        </w:rPr>
        <w:t>★</w:t>
      </w:r>
      <w:r>
        <w:rPr>
          <w:rFonts w:hint="eastAsia"/>
        </w:rPr>
        <w:t>系统备份：管理平台应能自动对系统数据库进行备份，备份的数据应进行加密和压缩。并应能对系统配置文件备份，在系统或应用程序的配置文件发生更改时，自动进行配置文件备份。</w:t>
      </w:r>
    </w:p>
    <w:p>
      <w:pPr>
        <w:pStyle w:val="2"/>
        <w:numPr>
          <w:ilvl w:val="0"/>
          <w:numId w:val="4"/>
        </w:numPr>
        <w:rPr>
          <w:color w:val="auto"/>
          <w:sz w:val="21"/>
        </w:rPr>
      </w:pPr>
      <w:r>
        <w:rPr>
          <w:rFonts w:hint="eastAsia"/>
          <w:color w:val="auto"/>
          <w:sz w:val="21"/>
        </w:rPr>
        <w:t>预警管理：支持对数据采集站运行状态（如长期离线、存储不足、CPU/内存占用率异常、未上传文件数超标等）及用户操作行为（如记录仪长期闲置、视音频导入超时、拍摄与采集时间异常等）设置阈值告警，提供预警详情查询，助力异常情况闭环处理。</w:t>
      </w:r>
    </w:p>
    <w:p>
      <w:pPr>
        <w:pStyle w:val="2"/>
        <w:numPr>
          <w:ilvl w:val="0"/>
          <w:numId w:val="4"/>
        </w:numPr>
        <w:rPr>
          <w:color w:val="auto"/>
          <w:sz w:val="21"/>
        </w:rPr>
      </w:pPr>
      <w:r>
        <w:rPr>
          <w:color w:val="auto"/>
          <w:sz w:val="21"/>
        </w:rPr>
        <w:t>集存服务监控：监控集存文件的应上传文件数与容量、应删除文件数量与容量、集存总容量、剩余容量、容量使用率等，支持数据导出。</w:t>
      </w:r>
    </w:p>
    <w:p>
      <w:pPr>
        <w:pStyle w:val="2"/>
        <w:numPr>
          <w:ilvl w:val="0"/>
          <w:numId w:val="4"/>
        </w:numPr>
        <w:rPr>
          <w:color w:val="auto"/>
          <w:sz w:val="21"/>
        </w:rPr>
      </w:pPr>
      <w:r>
        <w:rPr>
          <w:color w:val="auto"/>
          <w:sz w:val="21"/>
        </w:rPr>
        <w:t>案件/警情/工单管理：支持案件、警情、工单的增删改查，可配置关联规则，实现与视音频文件的手动/自动关联。</w:t>
      </w:r>
    </w:p>
    <w:p>
      <w:pPr>
        <w:pStyle w:val="2"/>
        <w:numPr>
          <w:ilvl w:val="0"/>
          <w:numId w:val="4"/>
        </w:numPr>
        <w:rPr>
          <w:color w:val="EE0000"/>
          <w:sz w:val="21"/>
        </w:rPr>
      </w:pPr>
      <w:r>
        <w:rPr>
          <w:rFonts w:hint="eastAsia"/>
          <w:color w:val="EE0000"/>
          <w:sz w:val="21"/>
        </w:rPr>
        <w:t>配套提供同品牌记录仪上位机管理软件，且调试可用。</w:t>
      </w:r>
    </w:p>
    <w:p>
      <w:pPr>
        <w:pStyle w:val="2"/>
        <w:numPr>
          <w:ilvl w:val="0"/>
          <w:numId w:val="4"/>
        </w:numPr>
        <w:rPr>
          <w:color w:val="EE0000"/>
          <w:sz w:val="21"/>
        </w:rPr>
      </w:pPr>
      <w:r>
        <w:rPr>
          <w:rFonts w:hint="eastAsia"/>
          <w:color w:val="EE0000"/>
          <w:sz w:val="21"/>
        </w:rPr>
        <w:t>系统升级：如有系统升级，需及时提供，且支持技术指导。</w:t>
      </w:r>
    </w:p>
    <w:p>
      <w:pPr>
        <w:pStyle w:val="2"/>
        <w:numPr>
          <w:ilvl w:val="0"/>
          <w:numId w:val="4"/>
        </w:numPr>
        <w:rPr>
          <w:color w:val="EE0000"/>
          <w:sz w:val="21"/>
        </w:rPr>
      </w:pPr>
      <w:r>
        <w:rPr>
          <w:rFonts w:hint="eastAsia"/>
          <w:color w:val="EE0000"/>
          <w:sz w:val="21"/>
        </w:rPr>
        <w:t>拒绝非法关机：专配不间断电源，终止非常规关机操作。</w:t>
      </w:r>
    </w:p>
    <w:p>
      <w:pPr>
        <w:pStyle w:val="2"/>
        <w:numPr>
          <w:ilvl w:val="0"/>
          <w:numId w:val="4"/>
        </w:numPr>
        <w:rPr>
          <w:rFonts w:hint="eastAsia"/>
          <w:color w:val="EE0000"/>
          <w:sz w:val="21"/>
        </w:rPr>
      </w:pPr>
      <w:r>
        <w:rPr>
          <w:rFonts w:hint="eastAsia"/>
          <w:color w:val="EE0000"/>
          <w:sz w:val="21"/>
        </w:rPr>
        <w:t>兼容目前山航在用的所有音视频记录仪。</w:t>
      </w:r>
    </w:p>
    <w:bookmarkEnd w:id="0"/>
    <w:p>
      <w:pPr>
        <w:pStyle w:val="2"/>
        <w:rPr>
          <w:color w:val="auto"/>
        </w:rPr>
      </w:pPr>
      <w:r>
        <w:rPr>
          <w:rFonts w:hint="eastAsia"/>
          <w:b/>
          <w:bCs/>
          <w:color w:val="auto"/>
        </w:rPr>
        <w:t>注：以上标</w:t>
      </w:r>
      <w:r>
        <w:rPr>
          <w:rFonts w:hint="eastAsia" w:ascii="汉仪叶叶相思体简" w:hAnsi="汉仪叶叶相思体简" w:eastAsia="汉仪叶叶相思体简" w:cs="汉仪叶叶相思体简"/>
          <w:color w:val="auto"/>
          <w:szCs w:val="21"/>
        </w:rPr>
        <w:t>★</w:t>
      </w:r>
      <w:r>
        <w:rPr>
          <w:rFonts w:hint="eastAsia"/>
          <w:b/>
          <w:bCs/>
          <w:color w:val="auto"/>
        </w:rPr>
        <w:t>各项技术要求以公安部检测中心出具的检测报告为准，提供检测报告复印件加盖原厂公章，为确保所提供的数据采集工作站完全与单位现有记录仪、管理平台数据相兼容，实现无障碍传输并可无缝接入，供应商须提供原厂针对本项目的无缝兼容承诺函，加盖原厂公章。如若虚假响应采购方有权终止合同。</w:t>
      </w:r>
    </w:p>
    <w:p>
      <w:pPr>
        <w:pStyle w:val="10"/>
        <w:ind w:firstLine="0" w:firstLineChars="0"/>
        <w:rPr>
          <w:b/>
          <w:bCs/>
        </w:rPr>
      </w:pPr>
    </w:p>
    <w:p>
      <w:pPr>
        <w:spacing w:line="360" w:lineRule="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汉仪叶叶相思体简">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group id="WEOffice_watermarkerGroup_1_16" o:spid="_x0000_s2066" o:spt="203" style="position:absolute;left:0pt;margin-left:-80pt;margin-top:-33.55pt;height:677.7pt;width:657.15pt;z-index:251659264;mso-width-relative:page;mso-height-relative:page;" coordorigin="483,483" coordsize="13143,13554">
          <o:lock v:ext="edit" aspectratio="f"/>
          <v:shape id="_x0000_s2050" o:spid="_x0000_s2050" o:spt="136" type="#_x0000_t136" style="position:absolute;left:483;top:483;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1" o:spid="_x0000_s2051" o:spt="136" type="#_x0000_t136" style="position:absolute;left:3404;top:483;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2" o:spid="_x0000_s2052" o:spt="136" type="#_x0000_t136" style="position:absolute;left:6325;top:483;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3" o:spid="_x0000_s2053" o:spt="136" type="#_x0000_t136" style="position:absolute;left:9246;top:483;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4" o:spid="_x0000_s2054" o:spt="136" type="#_x0000_t136" style="position:absolute;left:483;top:4874;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5" o:spid="_x0000_s2055" o:spt="136" type="#_x0000_t136" style="position:absolute;left:3404;top:4874;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6" o:spid="_x0000_s2056" o:spt="136" type="#_x0000_t136" style="position:absolute;left:6325;top:4874;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7" o:spid="_x0000_s2057" o:spt="136" type="#_x0000_t136" style="position:absolute;left:9246;top:4874;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8" o:spid="_x0000_s2058" o:spt="136" type="#_x0000_t136" style="position:absolute;left:483;top:9266;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59" o:spid="_x0000_s2059" o:spt="136" type="#_x0000_t136" style="position:absolute;left:3404;top:9266;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60" o:spid="_x0000_s2060" o:spt="136" type="#_x0000_t136" style="position:absolute;left:6325;top:9266;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61" o:spid="_x0000_s2061" o:spt="136" type="#_x0000_t136" style="position:absolute;left:9246;top:9266;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62" o:spid="_x0000_s2062" o:spt="136" type="#_x0000_t136" style="position:absolute;left:483;top:13657;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63" o:spid="_x0000_s2063" o:spt="136" type="#_x0000_t136" style="position:absolute;left:3404;top:13657;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64" o:spid="_x0000_s2064" o:spt="136" type="#_x0000_t136" style="position:absolute;left:6325;top:13657;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shape id="_x0000_s2065" o:spid="_x0000_s2065" o:spt="136" type="#_x0000_t136" style="position:absolute;left:9246;top:13657;height:380;width:4380;rotation:-2949120f;" fillcolor="#D9D9D9" filled="t" stroked="f" coordsize="21600,21600" adj="10800">
            <v:path/>
            <v:fill on="t" opacity="32768f" focussize="0,0"/>
            <v:stroke on="f"/>
            <v:imagedata o:title=""/>
            <o:lock v:ext="edit" aspectratio="t"/>
            <v:textpath on="t" fitpath="t" trim="t" xscale="f" string="022267 2026-05-20 13:10:16" style="font-family:Arial;font-size:17pt;v-text-align:center;"/>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A143A"/>
    <w:multiLevelType w:val="multilevel"/>
    <w:tmpl w:val="823A143A"/>
    <w:lvl w:ilvl="0" w:tentative="0">
      <w:start w:val="1"/>
      <w:numFmt w:val="chineseCountingThousand"/>
      <w:pStyle w:val="15"/>
      <w:suff w:val="space"/>
      <w:lvlText w:val="第%1章"/>
      <w:lvlJc w:val="left"/>
      <w:pPr>
        <w:ind w:left="4111" w:hanging="425"/>
      </w:pPr>
      <w:rPr>
        <w:rFonts w:hint="eastAsia" w:ascii="Times New Roman" w:hAnsi="Times New Roman" w:eastAsia="宋体"/>
        <w:b/>
        <w:i w:val="0"/>
        <w:sz w:val="36"/>
      </w:rPr>
    </w:lvl>
    <w:lvl w:ilvl="1" w:tentative="0">
      <w:start w:val="1"/>
      <w:numFmt w:val="decimal"/>
      <w:pStyle w:val="16"/>
      <w:isLgl/>
      <w:suff w:val="space"/>
      <w:lvlText w:val="%1.%2"/>
      <w:lvlJc w:val="left"/>
      <w:pPr>
        <w:ind w:left="992" w:hanging="992"/>
      </w:pPr>
      <w:rPr>
        <w:rFonts w:hint="eastAsia" w:ascii="宋体" w:hAnsi="宋体" w:eastAsia="宋体"/>
        <w:b/>
        <w:i w:val="0"/>
        <w:color w:val="000000"/>
        <w:sz w:val="28"/>
        <w:szCs w:val="28"/>
      </w:rPr>
    </w:lvl>
    <w:lvl w:ilvl="2" w:tentative="0">
      <w:start w:val="1"/>
      <w:numFmt w:val="decimal"/>
      <w:isLgl/>
      <w:suff w:val="space"/>
      <w:lvlText w:val="%1.%2.%3"/>
      <w:lvlJc w:val="left"/>
      <w:pPr>
        <w:ind w:left="1135" w:hanging="1135"/>
      </w:pPr>
      <w:rPr>
        <w:rFonts w:hint="eastAsia" w:ascii="宋体" w:hAnsi="宋体" w:eastAsia="宋体" w:cs="Times New Roman"/>
        <w:b/>
        <w:bCs w:val="0"/>
        <w:i w:val="0"/>
        <w:iCs w:val="0"/>
        <w:caps w:val="0"/>
        <w:smallCaps w:val="0"/>
        <w:strike w:val="0"/>
        <w:dstrike w:val="0"/>
        <w:snapToGrid w:val="0"/>
        <w:vanish w:val="0"/>
        <w:color w:val="000000"/>
        <w:spacing w:val="0"/>
        <w:w w:val="0"/>
        <w:kern w:val="0"/>
        <w:position w:val="0"/>
        <w:szCs w:val="0"/>
        <w:u w:val="none"/>
        <w:vertAlign w:val="baseline"/>
        <w:lang w:val="en-US"/>
      </w:rPr>
    </w:lvl>
    <w:lvl w:ilvl="3" w:tentative="0">
      <w:start w:val="1"/>
      <w:numFmt w:val="decimal"/>
      <w:pStyle w:val="17"/>
      <w:isLgl/>
      <w:suff w:val="space"/>
      <w:lvlText w:val="%1.%2.%3.%4"/>
      <w:lvlJc w:val="left"/>
      <w:pPr>
        <w:ind w:left="1984" w:hanging="1984"/>
      </w:pPr>
      <w:rPr>
        <w:rFonts w:hint="eastAsia" w:ascii="宋体" w:hAnsi="宋体" w:eastAsia="宋体"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pStyle w:val="18"/>
      <w:isLgl/>
      <w:suff w:val="space"/>
      <w:lvlText w:val="%1.%2.%3.%4.%5"/>
      <w:lvlJc w:val="left"/>
      <w:pPr>
        <w:ind w:left="2551" w:hanging="2551"/>
      </w:pPr>
      <w:rPr>
        <w:rFonts w:hint="eastAsia" w:eastAsia="宋体"/>
        <w:b/>
        <w:i w:val="0"/>
        <w:sz w:val="24"/>
      </w:rPr>
    </w:lvl>
    <w:lvl w:ilvl="5" w:tentative="0">
      <w:start w:val="1"/>
      <w:numFmt w:val="decimal"/>
      <w:lvlText w:val="%6)."/>
      <w:lvlJc w:val="left"/>
      <w:pPr>
        <w:ind w:left="3260" w:hanging="3260"/>
      </w:pPr>
      <w:rPr>
        <w:rFonts w:hint="eastAsia"/>
        <w:b/>
        <w:i w:val="0"/>
        <w:sz w:val="24"/>
        <w:szCs w:val="24"/>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AACF50F2"/>
    <w:multiLevelType w:val="singleLevel"/>
    <w:tmpl w:val="AACF50F2"/>
    <w:lvl w:ilvl="0" w:tentative="0">
      <w:start w:val="1"/>
      <w:numFmt w:val="chineseCounting"/>
      <w:suff w:val="nothing"/>
      <w:lvlText w:val="%1、"/>
      <w:lvlJc w:val="left"/>
      <w:rPr>
        <w:rFonts w:hint="eastAsia"/>
      </w:rPr>
    </w:lvl>
  </w:abstractNum>
  <w:abstractNum w:abstractNumId="2">
    <w:nsid w:val="C6885EFA"/>
    <w:multiLevelType w:val="singleLevel"/>
    <w:tmpl w:val="C6885EFA"/>
    <w:lvl w:ilvl="0" w:tentative="0">
      <w:start w:val="1"/>
      <w:numFmt w:val="decimal"/>
      <w:lvlText w:val="%1."/>
      <w:lvlJc w:val="left"/>
      <w:pPr>
        <w:ind w:left="425" w:hanging="425"/>
      </w:pPr>
      <w:rPr>
        <w:rFonts w:hint="default"/>
      </w:rPr>
    </w:lvl>
  </w:abstractNum>
  <w:abstractNum w:abstractNumId="3">
    <w:nsid w:val="CB36DD71"/>
    <w:multiLevelType w:val="multilevel"/>
    <w:tmpl w:val="CB36DD71"/>
    <w:lvl w:ilvl="0" w:tentative="0">
      <w:start w:val="1"/>
      <w:numFmt w:val="chineseCountingThousand"/>
      <w:pStyle w:val="19"/>
      <w:suff w:val="space"/>
      <w:lvlText w:val="第%1章"/>
      <w:lvlJc w:val="left"/>
      <w:pPr>
        <w:ind w:left="4111" w:hanging="425"/>
      </w:pPr>
      <w:rPr>
        <w:rFonts w:hint="eastAsia" w:ascii="Times New Roman" w:hAnsi="Times New Roman" w:eastAsia="宋体"/>
        <w:b/>
        <w:i w:val="0"/>
        <w:sz w:val="36"/>
      </w:rPr>
    </w:lvl>
    <w:lvl w:ilvl="1" w:tentative="0">
      <w:start w:val="1"/>
      <w:numFmt w:val="decimal"/>
      <w:isLgl/>
      <w:suff w:val="space"/>
      <w:lvlText w:val="%1.%2"/>
      <w:lvlJc w:val="left"/>
      <w:pPr>
        <w:ind w:left="992" w:hanging="992"/>
      </w:pPr>
      <w:rPr>
        <w:rFonts w:hint="eastAsia" w:ascii="宋体" w:hAnsi="宋体" w:eastAsia="宋体"/>
        <w:b/>
        <w:i w:val="0"/>
        <w:color w:val="000000"/>
        <w:sz w:val="28"/>
        <w:szCs w:val="28"/>
      </w:rPr>
    </w:lvl>
    <w:lvl w:ilvl="2" w:tentative="0">
      <w:start w:val="1"/>
      <w:numFmt w:val="decimal"/>
      <w:isLgl/>
      <w:suff w:val="space"/>
      <w:lvlText w:val="%1.%2.%3"/>
      <w:lvlJc w:val="left"/>
      <w:pPr>
        <w:ind w:left="1135" w:hanging="1135"/>
      </w:pPr>
      <w:rPr>
        <w:rFonts w:hint="eastAsia" w:ascii="宋体" w:hAnsi="宋体" w:eastAsia="宋体" w:cs="Times New Roman"/>
        <w:b/>
        <w:bCs w:val="0"/>
        <w:i w:val="0"/>
        <w:iCs w:val="0"/>
        <w:caps w:val="0"/>
        <w:smallCaps w:val="0"/>
        <w:strike w:val="0"/>
        <w:dstrike w:val="0"/>
        <w:snapToGrid w:val="0"/>
        <w:vanish w:val="0"/>
        <w:color w:val="000000"/>
        <w:spacing w:val="0"/>
        <w:w w:val="0"/>
        <w:kern w:val="0"/>
        <w:position w:val="0"/>
        <w:szCs w:val="0"/>
        <w:u w:val="none"/>
        <w:vertAlign w:val="baseline"/>
        <w:lang w:val="en-US"/>
      </w:rPr>
    </w:lvl>
    <w:lvl w:ilvl="3" w:tentative="0">
      <w:start w:val="1"/>
      <w:numFmt w:val="decimal"/>
      <w:isLgl/>
      <w:suff w:val="space"/>
      <w:lvlText w:val="%1.%2.%3.%4"/>
      <w:lvlJc w:val="left"/>
      <w:pPr>
        <w:ind w:left="1984" w:hanging="1984"/>
      </w:pPr>
      <w:rPr>
        <w:rFonts w:hint="eastAsia" w:ascii="宋体" w:hAnsi="宋体" w:eastAsia="宋体"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isLgl/>
      <w:suff w:val="space"/>
      <w:lvlText w:val="%1.%2.%3.%4.%5"/>
      <w:lvlJc w:val="left"/>
      <w:pPr>
        <w:ind w:left="2551" w:hanging="2551"/>
      </w:pPr>
      <w:rPr>
        <w:rFonts w:hint="eastAsia" w:eastAsia="宋体"/>
        <w:b/>
        <w:i w:val="0"/>
        <w:sz w:val="24"/>
      </w:rPr>
    </w:lvl>
    <w:lvl w:ilvl="5" w:tentative="0">
      <w:start w:val="1"/>
      <w:numFmt w:val="decimal"/>
      <w:lvlText w:val="%6)."/>
      <w:lvlJc w:val="left"/>
      <w:pPr>
        <w:ind w:left="3260" w:hanging="3260"/>
      </w:pPr>
      <w:rPr>
        <w:rFonts w:hint="eastAsia"/>
        <w:b/>
        <w:i w:val="0"/>
        <w:sz w:val="24"/>
        <w:szCs w:val="24"/>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0RhQ5miwrwK7WArXsOCH8m69NkE=" w:salt="IE1iuCKr+eKTfdvIovtzI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YmQxMTE5ZjU3YjM0NTg2OGI0NTA0OGQ2MjEyOWUifQ=="/>
  </w:docVars>
  <w:rsids>
    <w:rsidRoot w:val="00C519CE"/>
    <w:rsid w:val="00123D88"/>
    <w:rsid w:val="00353C96"/>
    <w:rsid w:val="00656C03"/>
    <w:rsid w:val="00702588"/>
    <w:rsid w:val="007038F4"/>
    <w:rsid w:val="00B40A47"/>
    <w:rsid w:val="00C519CE"/>
    <w:rsid w:val="00DE58D9"/>
    <w:rsid w:val="00EF019C"/>
    <w:rsid w:val="00FB0438"/>
    <w:rsid w:val="00FD478E"/>
    <w:rsid w:val="01B65938"/>
    <w:rsid w:val="040E518B"/>
    <w:rsid w:val="044C06FC"/>
    <w:rsid w:val="05296539"/>
    <w:rsid w:val="06651841"/>
    <w:rsid w:val="07327039"/>
    <w:rsid w:val="09A11A04"/>
    <w:rsid w:val="0A841F27"/>
    <w:rsid w:val="0ABC0893"/>
    <w:rsid w:val="0DAB1750"/>
    <w:rsid w:val="0E026509"/>
    <w:rsid w:val="115B0E0C"/>
    <w:rsid w:val="11B15BCB"/>
    <w:rsid w:val="12890CCF"/>
    <w:rsid w:val="12F52709"/>
    <w:rsid w:val="132F2026"/>
    <w:rsid w:val="138C0247"/>
    <w:rsid w:val="14460566"/>
    <w:rsid w:val="15E405EC"/>
    <w:rsid w:val="17484150"/>
    <w:rsid w:val="17505447"/>
    <w:rsid w:val="18041AC7"/>
    <w:rsid w:val="18B057C0"/>
    <w:rsid w:val="19185D5B"/>
    <w:rsid w:val="198E44F9"/>
    <w:rsid w:val="1B352B79"/>
    <w:rsid w:val="1C4D52AA"/>
    <w:rsid w:val="1C8D31E9"/>
    <w:rsid w:val="1CD557F5"/>
    <w:rsid w:val="1D7064B0"/>
    <w:rsid w:val="1F0B46E2"/>
    <w:rsid w:val="201A64F1"/>
    <w:rsid w:val="205362CC"/>
    <w:rsid w:val="20955068"/>
    <w:rsid w:val="20CE0ED9"/>
    <w:rsid w:val="20F51321"/>
    <w:rsid w:val="22C209A1"/>
    <w:rsid w:val="22F417C4"/>
    <w:rsid w:val="259A04C9"/>
    <w:rsid w:val="262A7A35"/>
    <w:rsid w:val="26E17572"/>
    <w:rsid w:val="27407C4E"/>
    <w:rsid w:val="2A4028DC"/>
    <w:rsid w:val="2BD341FB"/>
    <w:rsid w:val="2CBF3426"/>
    <w:rsid w:val="2D5B685D"/>
    <w:rsid w:val="2E087A0F"/>
    <w:rsid w:val="2E2C5103"/>
    <w:rsid w:val="2E5B2308"/>
    <w:rsid w:val="307F6601"/>
    <w:rsid w:val="3219254A"/>
    <w:rsid w:val="3411041E"/>
    <w:rsid w:val="34C2295B"/>
    <w:rsid w:val="36B33F72"/>
    <w:rsid w:val="37411658"/>
    <w:rsid w:val="378C0F6D"/>
    <w:rsid w:val="38AA25FA"/>
    <w:rsid w:val="3A171A99"/>
    <w:rsid w:val="3B1367D1"/>
    <w:rsid w:val="3E0077CE"/>
    <w:rsid w:val="3EB12751"/>
    <w:rsid w:val="3FCC31A4"/>
    <w:rsid w:val="405C38D3"/>
    <w:rsid w:val="40684482"/>
    <w:rsid w:val="407975E3"/>
    <w:rsid w:val="40FB7199"/>
    <w:rsid w:val="41C7172D"/>
    <w:rsid w:val="431E0C18"/>
    <w:rsid w:val="43AD50C3"/>
    <w:rsid w:val="445B4C76"/>
    <w:rsid w:val="44F0271E"/>
    <w:rsid w:val="455870A8"/>
    <w:rsid w:val="460A2EBB"/>
    <w:rsid w:val="47636F83"/>
    <w:rsid w:val="4842282C"/>
    <w:rsid w:val="49B47831"/>
    <w:rsid w:val="4A797679"/>
    <w:rsid w:val="4CB93F3C"/>
    <w:rsid w:val="4CCE2E7D"/>
    <w:rsid w:val="4D38012C"/>
    <w:rsid w:val="4E4A416F"/>
    <w:rsid w:val="4EC75A48"/>
    <w:rsid w:val="500C3440"/>
    <w:rsid w:val="5029017D"/>
    <w:rsid w:val="50E2605D"/>
    <w:rsid w:val="518D5397"/>
    <w:rsid w:val="51FB6DEF"/>
    <w:rsid w:val="52FC1CF9"/>
    <w:rsid w:val="536A3872"/>
    <w:rsid w:val="543B74DE"/>
    <w:rsid w:val="548B15D2"/>
    <w:rsid w:val="56265628"/>
    <w:rsid w:val="56404F20"/>
    <w:rsid w:val="56677011"/>
    <w:rsid w:val="5989564A"/>
    <w:rsid w:val="5AA80ECF"/>
    <w:rsid w:val="5ABC1EF5"/>
    <w:rsid w:val="5CC35DFE"/>
    <w:rsid w:val="5CF6041A"/>
    <w:rsid w:val="5DAD112D"/>
    <w:rsid w:val="60E411CE"/>
    <w:rsid w:val="622E1DBD"/>
    <w:rsid w:val="625F0070"/>
    <w:rsid w:val="62726FB7"/>
    <w:rsid w:val="62A4228A"/>
    <w:rsid w:val="62C03E91"/>
    <w:rsid w:val="62C5711D"/>
    <w:rsid w:val="632509BC"/>
    <w:rsid w:val="64B65E45"/>
    <w:rsid w:val="65187AFE"/>
    <w:rsid w:val="6767612D"/>
    <w:rsid w:val="6775213D"/>
    <w:rsid w:val="67C565DE"/>
    <w:rsid w:val="695300B6"/>
    <w:rsid w:val="6AF1334A"/>
    <w:rsid w:val="6C431E4A"/>
    <w:rsid w:val="6C7517D5"/>
    <w:rsid w:val="6DB14DC5"/>
    <w:rsid w:val="6DC711B5"/>
    <w:rsid w:val="6FDA725E"/>
    <w:rsid w:val="703134FA"/>
    <w:rsid w:val="7072674B"/>
    <w:rsid w:val="70AF31D6"/>
    <w:rsid w:val="70C101FF"/>
    <w:rsid w:val="711335A8"/>
    <w:rsid w:val="72435AC6"/>
    <w:rsid w:val="757E761E"/>
    <w:rsid w:val="7617500F"/>
    <w:rsid w:val="76B67F72"/>
    <w:rsid w:val="77B45115"/>
    <w:rsid w:val="784E2DCE"/>
    <w:rsid w:val="78F2388C"/>
    <w:rsid w:val="793D233D"/>
    <w:rsid w:val="7CB40EAF"/>
    <w:rsid w:val="7D1F5647"/>
    <w:rsid w:val="7DAC3F8C"/>
    <w:rsid w:val="7E3E3894"/>
    <w:rsid w:val="7EB704B6"/>
    <w:rsid w:val="7F12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3"/>
    <w:qFormat/>
    <w:uiPriority w:val="0"/>
    <w:pPr>
      <w:keepNext/>
      <w:keepLines/>
      <w:jc w:val="left"/>
      <w:outlineLvl w:val="0"/>
    </w:pPr>
    <w:rPr>
      <w:b/>
      <w:bCs/>
      <w:kern w:val="44"/>
      <w:szCs w:val="44"/>
    </w:rPr>
  </w:style>
  <w:style w:type="paragraph" w:styleId="4">
    <w:name w:val="heading 2"/>
    <w:basedOn w:val="1"/>
    <w:next w:val="1"/>
    <w:link w:val="14"/>
    <w:semiHidden/>
    <w:unhideWhenUsed/>
    <w:qFormat/>
    <w:uiPriority w:val="0"/>
    <w:pPr>
      <w:keepNext/>
      <w:keepLines/>
      <w:tabs>
        <w:tab w:val="left" w:pos="0"/>
      </w:tabs>
      <w:snapToGrid w:val="0"/>
      <w:ind w:firstLine="560" w:firstLineChars="200"/>
      <w:outlineLvl w:val="1"/>
    </w:pPr>
    <w:rPr>
      <w:szCs w:val="21"/>
    </w:rPr>
  </w:style>
  <w:style w:type="paragraph" w:styleId="5">
    <w:name w:val="heading 3"/>
    <w:basedOn w:val="1"/>
    <w:next w:val="1"/>
    <w:semiHidden/>
    <w:unhideWhenUsed/>
    <w:qFormat/>
    <w:uiPriority w:val="0"/>
    <w:pPr>
      <w:adjustRightInd w:val="0"/>
      <w:snapToGrid w:val="0"/>
      <w:spacing w:before="30" w:beforeLines="30" w:after="10" w:afterLines="10"/>
      <w:ind w:firstLine="560" w:firstLineChars="200"/>
      <w:outlineLvl w:val="2"/>
    </w:pPr>
    <w:rPr>
      <w:rFonts w:ascii="宋体" w:hAnsi="宋体"/>
      <w:b/>
      <w:bCs/>
      <w:szCs w:val="30"/>
    </w:rPr>
  </w:style>
  <w:style w:type="paragraph" w:styleId="6">
    <w:name w:val="heading 4"/>
    <w:basedOn w:val="1"/>
    <w:next w:val="1"/>
    <w:semiHidden/>
    <w:unhideWhenUsed/>
    <w:qFormat/>
    <w:uiPriority w:val="0"/>
    <w:pPr>
      <w:keepNext/>
      <w:keepLines/>
      <w:spacing w:line="360" w:lineRule="auto"/>
      <w:outlineLvl w:val="3"/>
    </w:pPr>
    <w:rPr>
      <w:rFonts w:ascii="Arial" w:hAnsi="Arial" w:eastAsia="微软雅黑"/>
      <w:b/>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color w:val="595959"/>
      <w:sz w:val="20"/>
    </w:rPr>
  </w:style>
  <w:style w:type="paragraph" w:styleId="7">
    <w:name w:val="Body Text Indent"/>
    <w:basedOn w:val="1"/>
    <w:qFormat/>
    <w:uiPriority w:val="0"/>
    <w:pPr>
      <w:spacing w:after="12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adjustRightInd w:val="0"/>
      <w:snapToGrid w:val="0"/>
      <w:spacing w:line="360" w:lineRule="exact"/>
      <w:ind w:left="0" w:leftChars="0" w:firstLine="560" w:firstLineChars="200"/>
    </w:pPr>
  </w:style>
  <w:style w:type="character" w:customStyle="1" w:styleId="13">
    <w:name w:val="标题 1 字符"/>
    <w:link w:val="3"/>
    <w:qFormat/>
    <w:uiPriority w:val="9"/>
    <w:rPr>
      <w:rFonts w:ascii="Times New Roman" w:hAnsi="Times New Roman" w:eastAsia="宋体" w:cs="Times New Roman"/>
      <w:b/>
      <w:color w:val="000000" w:themeColor="text1"/>
      <w:kern w:val="44"/>
      <w:sz w:val="28"/>
      <w:szCs w:val="22"/>
      <w:lang w:val="zh-CN" w:bidi="zh-CN"/>
      <w14:textFill>
        <w14:solidFill>
          <w14:schemeClr w14:val="tx1"/>
        </w14:solidFill>
      </w14:textFill>
    </w:rPr>
  </w:style>
  <w:style w:type="character" w:customStyle="1" w:styleId="14">
    <w:name w:val="标题 2 字符"/>
    <w:link w:val="4"/>
    <w:qFormat/>
    <w:uiPriority w:val="9"/>
    <w:rPr>
      <w:rFonts w:ascii="Times New Roman" w:hAnsi="Times New Roman" w:eastAsia="宋体" w:cs="Times New Roman"/>
      <w:b/>
      <w:bCs/>
      <w:sz w:val="24"/>
      <w:szCs w:val="32"/>
      <w:lang w:val="zh-CN" w:bidi="zh-CN"/>
    </w:rPr>
  </w:style>
  <w:style w:type="paragraph" w:customStyle="1" w:styleId="15">
    <w:name w:val="GM标题3"/>
    <w:basedOn w:val="5"/>
    <w:qFormat/>
    <w:uiPriority w:val="0"/>
    <w:pPr>
      <w:numPr>
        <w:ilvl w:val="0"/>
        <w:numId w:val="1"/>
      </w:numPr>
      <w:spacing w:before="0" w:after="0" w:line="312" w:lineRule="auto"/>
    </w:pPr>
    <w:rPr>
      <w:rFonts w:ascii="Times New Roman" w:hAnsi="Times New Roman"/>
      <w:bCs w:val="0"/>
      <w:kern w:val="0"/>
      <w:sz w:val="24"/>
    </w:rPr>
  </w:style>
  <w:style w:type="paragraph" w:customStyle="1" w:styleId="16">
    <w:name w:val="GG标题2"/>
    <w:basedOn w:val="1"/>
    <w:qFormat/>
    <w:uiPriority w:val="0"/>
    <w:pPr>
      <w:numPr>
        <w:ilvl w:val="1"/>
        <w:numId w:val="1"/>
      </w:numPr>
    </w:pPr>
  </w:style>
  <w:style w:type="paragraph" w:customStyle="1" w:styleId="17">
    <w:name w:val="GM标题4"/>
    <w:basedOn w:val="1"/>
    <w:qFormat/>
    <w:uiPriority w:val="0"/>
    <w:pPr>
      <w:numPr>
        <w:ilvl w:val="3"/>
        <w:numId w:val="1"/>
      </w:numPr>
    </w:pPr>
  </w:style>
  <w:style w:type="paragraph" w:customStyle="1" w:styleId="18">
    <w:name w:val="GM标题5"/>
    <w:basedOn w:val="1"/>
    <w:qFormat/>
    <w:uiPriority w:val="0"/>
    <w:pPr>
      <w:numPr>
        <w:ilvl w:val="4"/>
        <w:numId w:val="1"/>
      </w:numPr>
    </w:pPr>
  </w:style>
  <w:style w:type="paragraph" w:customStyle="1" w:styleId="19">
    <w:name w:val="GM标题2"/>
    <w:basedOn w:val="4"/>
    <w:qFormat/>
    <w:uiPriority w:val="0"/>
    <w:pPr>
      <w:numPr>
        <w:ilvl w:val="0"/>
        <w:numId w:val="2"/>
      </w:numPr>
      <w:spacing w:line="312" w:lineRule="auto"/>
    </w:pPr>
    <w:rPr>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DF0C4-0805-4CC9-B017-85D45E635979}">
  <ds:schemaRefs/>
</ds:datastoreItem>
</file>

<file path=docProps/app.xml><?xml version="1.0" encoding="utf-8"?>
<Properties xmlns="http://schemas.openxmlformats.org/officeDocument/2006/extended-properties" xmlns:vt="http://schemas.openxmlformats.org/officeDocument/2006/docPropsVTypes">
  <Template>Normal</Template>
  <Pages>3</Pages>
  <Words>1360</Words>
  <Characters>1415</Characters>
  <Lines>45</Lines>
  <Paragraphs>38</Paragraphs>
  <TotalTime>59</TotalTime>
  <ScaleCrop>false</ScaleCrop>
  <LinksUpToDate>false</LinksUpToDate>
  <CharactersWithSpaces>2737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2022-01-07T01:20:00Z</dcterms:created>
  <dc:creator>WXY</dc:creator>
  <cp:lastModifiedBy>王恩沼</cp:lastModifiedBy>
  <dcterms:modified xsi:type="dcterms:W3CDTF">2026-05-20T05:10:27Z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26A1983E1EDA4652A64F5B18D094CE14_13</vt:lpwstr>
  </property>
  <property fmtid="{D5CDD505-2E9C-101B-9397-08002B2CF9AE}" pid="4" name="KSOTemplateDocerSaveRecord">
    <vt:lpwstr>eyJoZGlkIjoiYWIwN2I2ZjFlZTRlMGViOWQ2MmM3MjVmZTA0M2IyZTAiLCJ1c2VySWQiOiI0NzI1MDI1ODEifQ==</vt:lpwstr>
  </property>
</Properties>
</file>