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7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" w:name="_GoBack"/>
      <w:bookmarkEnd w:id="2"/>
      <w:bookmarkStart w:id="0" w:name="OLE_LINK1"/>
      <w:r>
        <w:rPr>
          <w:rFonts w:hint="eastAsia" w:ascii="方正小标宋简体" w:hAnsi="方正小标宋简体" w:eastAsia="方正小标宋简体" w:cstheme="minorBidi"/>
          <w:b w:val="0"/>
          <w:bCs w:val="0"/>
          <w:i w:val="0"/>
          <w:iCs w:val="0"/>
          <w:color w:val="333333"/>
          <w:spacing w:val="0"/>
          <w:w w:val="100"/>
          <w:kern w:val="2"/>
          <w:sz w:val="44"/>
          <w:szCs w:val="44"/>
          <w:vertAlign w:val="baseline"/>
          <w:lang w:val="en-US" w:eastAsia="zh-CN" w:bidi="ar-SA"/>
        </w:rPr>
        <w:t>航食公司</w:t>
      </w:r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sz w:val="44"/>
          <w:szCs w:val="44"/>
          <w:lang w:val="en-US" w:eastAsia="zh-CN"/>
        </w:rPr>
        <w:t>新厂区货架采购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项目采购需求</w:t>
      </w:r>
    </w:p>
    <w:p>
      <w:pPr>
        <w:snapToGrid/>
        <w:spacing w:line="240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16"/>
          <w:szCs w:val="16"/>
          <w:lang w:val="en-US" w:eastAsia="zh-CN"/>
        </w:rPr>
      </w:pPr>
    </w:p>
    <w:bookmarkEnd w:id="0"/>
    <w:p>
      <w:pPr>
        <w:snapToGrid/>
        <w:spacing w:line="336" w:lineRule="auto"/>
        <w:ind w:left="0" w:leftChars="0" w:right="0" w:rightChars="0" w:firstLine="640" w:firstLineChars="200"/>
        <w:jc w:val="both"/>
        <w:outlineLvl w:val="0"/>
        <w:rPr>
          <w:rFonts w:hint="eastAsia" w:ascii="黑体" w:hAnsi="黑体" w:eastAsia="黑体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一、项目概况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default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航食公司新厂区投入使用后，需承接机供品、包装材料、地面销售物资等多品类物资的仓储管理工作，现有仓储模式存在空间利用率不足、物资存取效率偏低等问题。为适配不同物资存储特性，优化库区货位规划，本次拟采购重型横梁式货架及不锈钢货架，为新厂区仓储业务标准化、高效化运行提供硬件支撑，实现多品类物资分类规范存储，提升仓储空间利用率与物资存取效率，保障仓储作业安全。 </w:t>
      </w:r>
    </w:p>
    <w:p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（二）预算情况</w:t>
      </w:r>
    </w:p>
    <w:p>
      <w:pPr>
        <w:numPr>
          <w:ilvl w:val="0"/>
          <w:numId w:val="0"/>
        </w:numPr>
        <w:snapToGrid/>
        <w:spacing w:line="336" w:lineRule="auto"/>
        <w:ind w:leftChars="200" w:right="0" w:rightChars="0" w:firstLine="320" w:firstLineChars="100"/>
        <w:jc w:val="both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航食济南新园区投资立项预算内。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0"/>
        <w:rPr>
          <w:rFonts w:hint="eastAsia" w:ascii="黑体" w:hAnsi="黑体" w:eastAsia="黑体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三、采购计划批复情况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已通过2026年采购计划审批。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0"/>
        <w:rPr>
          <w:rFonts w:hint="eastAsia" w:ascii="黑体" w:hAnsi="黑体" w:eastAsia="黑体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四、采购需求</w:t>
      </w:r>
    </w:p>
    <w:p>
      <w:pPr>
        <w:spacing w:beforeLines="0" w:afterLines="0"/>
        <w:ind w:firstLine="640" w:firstLineChars="200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清单中的数量为参考数量，可能根据现场实际情况有所下调或上涨，最终结算以实际交付为准；</w:t>
      </w:r>
      <w:r>
        <w:rPr>
          <w:rFonts w:hint="eastAsia" w:ascii="仿宋_GB2312" w:hAnsi="仿宋_GB2312" w:eastAsia="仿宋_GB2312" w:cs="方正小标宋简体"/>
          <w:sz w:val="32"/>
          <w:szCs w:val="32"/>
        </w:rPr>
        <w:t>清单所列尺寸需由供应商现场实地测量，因部分位置存在异形</w:t>
      </w:r>
      <w:r>
        <w:rPr>
          <w:rFonts w:hint="eastAsia" w:ascii="仿宋_GB2312" w:hAnsi="仿宋_GB2312" w:eastAsia="仿宋_GB2312" w:cs="方正小标宋简体"/>
          <w:sz w:val="32"/>
          <w:szCs w:val="32"/>
          <w:lang w:val="en-US" w:eastAsia="zh-CN"/>
        </w:rPr>
        <w:t>结构</w:t>
      </w:r>
      <w:r>
        <w:rPr>
          <w:rFonts w:hint="eastAsia" w:ascii="仿宋_GB2312" w:hAnsi="仿宋_GB2312" w:eastAsia="仿宋_GB2312" w:cs="方正小标宋简体"/>
          <w:sz w:val="32"/>
          <w:szCs w:val="32"/>
        </w:rPr>
        <w:t>，</w:t>
      </w:r>
      <w:r>
        <w:rPr>
          <w:rFonts w:hint="eastAsia" w:ascii="仿宋_GB2312" w:hAnsi="仿宋_GB2312" w:eastAsia="仿宋_GB2312" w:cs="方正小标宋简体"/>
          <w:sz w:val="32"/>
          <w:szCs w:val="32"/>
          <w:lang w:val="en-US" w:eastAsia="zh-CN"/>
        </w:rPr>
        <w:t>货架尺寸会有定制需求（如货架长度），</w:t>
      </w:r>
      <w:r>
        <w:rPr>
          <w:rFonts w:hint="eastAsia" w:ascii="仿宋_GB2312" w:hAnsi="仿宋_GB2312" w:eastAsia="仿宋_GB2312" w:cs="方正小标宋简体"/>
          <w:sz w:val="32"/>
          <w:szCs w:val="32"/>
        </w:rPr>
        <w:t>具体以现场实测为准，最终尺寸按</w:t>
      </w:r>
      <w:r>
        <w:rPr>
          <w:rFonts w:hint="eastAsia" w:ascii="仿宋_GB2312" w:hAnsi="仿宋_GB2312" w:eastAsia="仿宋_GB2312" w:cs="方正小标宋简体"/>
          <w:sz w:val="32"/>
          <w:szCs w:val="32"/>
          <w:lang w:val="en-US" w:eastAsia="zh-CN"/>
        </w:rPr>
        <w:t>实地测量尺寸执行</w:t>
      </w:r>
      <w:r>
        <w:rPr>
          <w:rFonts w:hint="eastAsia" w:ascii="仿宋_GB2312" w:hAnsi="仿宋_GB2312" w:eastAsia="仿宋_GB2312" w:cs="方正小标宋简体"/>
          <w:sz w:val="32"/>
          <w:szCs w:val="32"/>
        </w:rPr>
        <w:t>。</w:t>
      </w:r>
    </w:p>
    <w:tbl>
      <w:tblPr>
        <w:tblStyle w:val="10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50"/>
        <w:gridCol w:w="750"/>
        <w:gridCol w:w="6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50" w:type="dxa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参考数量</w:t>
            </w:r>
          </w:p>
        </w:tc>
        <w:tc>
          <w:tcPr>
            <w:tcW w:w="7153" w:type="dxa"/>
            <w:gridSpan w:val="2"/>
            <w:vAlign w:val="center"/>
          </w:tcPr>
          <w:p>
            <w:pPr>
              <w:snapToGrid/>
              <w:spacing w:line="336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restart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重型横梁式货架</w:t>
            </w:r>
          </w:p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96</w:t>
            </w: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材质标准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立柱/横梁：Q235B 冷轧钢，符合 GB50017-2017；表面除锈+磷化+静电喷塑处理。</w:t>
            </w:r>
          </w:p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提供材质证明，喷塑涂层耐盐雾≥300 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尺寸规格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长2500mm×宽1200mm×高3800mm</w:t>
            </w:r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（允许误差±5mm）。</w:t>
            </w:r>
            <w:r>
              <w:rPr>
                <w:rFonts w:hint="eastAsia" w:ascii="宋体" w:hAnsi="宋体" w:eastAsia="宋体" w:cs="宋体"/>
                <w:szCs w:val="21"/>
              </w:rPr>
              <w:t>货架宽度（进深）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需适配800mm*1200mm、1000mm*1200mm两种托盘上架，进叉方向为800mm和1000mm处。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结构设计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底层无层隔板（直接落地存储），上部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设2层横梁；螺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栓连接，层距可调；整体适配仓库通道规划。底层无遮挡，便于地面清洁，每层层距不小于1200mm，层距调节步距≤50mm。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承重性能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每层额定承重≥2000kg（均匀分布）；按120%额定载荷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（2400kg）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静载测试24h无永久变形、无结构损坏。第三方承重检测报告（含 2400kg载荷测试）合格，实测无变形、晃动。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板材厚度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立柱不低于100*70*2.0mm；横梁不低于120*50*1.5，其中承重面≥3.0mm。卡尺实测达标。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层板配置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平面钢板，厚度≥1.5mm，每块层板下5根矩管筋，表面防滑处理。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表面处理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喷塑均匀光滑（建议颜色为纯色系，供应商需优先出具效果图），无流挂、气泡、划痕、毛刺。涂层附着力强（百格测试≥4 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安全配件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高强度碳钢安全销（每根横梁两端标配）、防撞护脚（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黄/红警示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色，高度≥200mm）、M16×120mm膨胀螺栓。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安装精度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立柱垂直度偏差≤3mm/m，横梁水平度偏差≤2mm/m，整体排列整齐。需与地面镶嵌，保证货架稳定。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restart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重型横梁式货架</w:t>
            </w:r>
          </w:p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柱子区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材质标准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立柱/横梁：Q235B 冷轧钢，符合 GB50017-2017；表面除锈+磷化+静电喷塑处理。</w:t>
            </w:r>
          </w:p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提供材质证明，喷塑涂层耐盐雾≥300 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尺寸规格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内长900mm×宽1200mm×高3800mm（允许误差±5mm），</w:t>
            </w:r>
            <w:r>
              <w:rPr>
                <w:rFonts w:hint="eastAsia" w:ascii="宋体" w:hAnsi="宋体" w:eastAsia="宋体" w:cs="宋体"/>
                <w:szCs w:val="21"/>
              </w:rPr>
              <w:t>货架宽度（进深）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需适配整800mm*1200mm托盘上架，起叉方向为800mm处。柱子区货架与柱子固定美观。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结构设计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底层无层隔板（直接落地存储），上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部设2层横梁；螺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栓连接，层距可调；整体适配仓库通道规划。底层无遮挡，便于地面清洁，需与常规货架层高一致、美观，层距调节步距≤50mm。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承重性能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每层额定承重≥2000kg（均匀分布）；按120%额定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载荷（2400kg）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静载测试24h无永久变形、无结构损坏。第三方承重检测报告（含 2400kg载荷测试）合格，实测无变形、晃动。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板材厚度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立柱不低于100*70*2.0mm；横梁不低于120*50*1.5，其中承重面≥3.0mm。卡尺实测达标。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层板配置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平面钢板，厚度≥1.5mm，每块层板下5根矩管筋，表面防滑处理。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表面处理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喷塑均匀光滑（建议颜色为纯色系，供应商需优先出具效果图），无流挂、气泡、划痕、毛刺。涂层附着力强（百格测试≥4 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安全配件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高强度碳钢安全销（每根横梁两端标配）、防撞护脚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（黄/红警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示色，高度≥200mm）、M16×120mm膨胀螺栓。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安装精度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立柱垂直度偏差≤3mm/m，横梁水平度偏差≤2mm/m，整体排列整齐。需与地面、柱子镶嵌，保证货架稳定。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restart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304不锈钢</w:t>
            </w:r>
          </w:p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中型货架</w:t>
            </w:r>
          </w:p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（A款）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材质标准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主体：304不锈钢（06Cr19Ni10），符合GB 4806.9-2023；板材符合 GB/T 3280-2015。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尺寸规格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长2000mm×宽600mm×高2000mm（允许误差 ±5mm）。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结构设计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4层（含顶层），卡扣式连接，底层离地≥150mm；立柱带加强筋，拆装便捷、层距可调。结构稳固，无晃动，层距调节步距≤50mm。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承重性能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每层额定承重≥500kg（均匀分布）；按120%额定载荷静载测试24h无永久变形。第三方承重检测报告合格，实测无变形。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板材厚度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立柱≥1.0mm，横梁≥1.0mm，层板≥0.8mm。卡尺实测达标。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表面处理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电解抛光，保留原有材质颜色，表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面粗糙度Ra≤0.8μm；无毛刺、划痕、凹陷、锈斑。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安全配件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304不锈钢安全销、防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撞护脚（黄/红警示色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，高度≥150mm）、M12×100mm膨胀螺栓。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restart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304不锈钢</w:t>
            </w:r>
          </w:p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中型货架</w:t>
            </w:r>
          </w:p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（B款）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材质标准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主体：304不锈钢（06Cr19Ni10），符合GB 4806.9-2023；板材符合 GB/T 3280-2015。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尺寸规格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长2000mm×宽800mm×高2000mm（允许误差 ±5mm）。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结构设计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4层（含顶层），卡扣式连接，底层离地≥150mm；立柱带加强筋，拆装便捷、层距可调。结构稳固，无晃动，层距调节步距≤50mm。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承重性能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每层额定承重≥500kg（均匀分布）；按120%额定载荷静载测试24h无永久变形。第三方承重检测报告合格，实测无变形。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板材厚度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立柱≥1.0mm，横梁≥1.0mm，层板≥0.8mm。卡尺实测达标。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表面处理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电解抛光，保留原有材质颜色，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表面粗糙度Ra≤0.8μm；无毛刺、划痕、凹陷、锈斑。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/>
              <w:spacing w:line="240" w:lineRule="auto"/>
              <w:ind w:right="0" w:rightChars="0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安全配件</w:t>
            </w:r>
          </w:p>
        </w:tc>
        <w:tc>
          <w:tcPr>
            <w:tcW w:w="6403" w:type="dxa"/>
            <w:vAlign w:val="center"/>
          </w:tcPr>
          <w:p>
            <w:pPr>
              <w:snapToGrid/>
              <w:spacing w:line="240" w:lineRule="auto"/>
              <w:ind w:right="0" w:right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304不锈钢安全销、防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撞护脚（黄/红警示色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，高度≥150mm）、M12×100mm膨胀螺栓。</w:t>
            </w:r>
          </w:p>
        </w:tc>
      </w:tr>
    </w:tbl>
    <w:p>
      <w:p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（一）需执行的国家、行业、地方或其他标准规范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供应商需具备《钢结构工程专业承包资质》（三级及以上）、《安全生产许可证》，货架生产需符合ISO9001质量管理体系认证、ISO14001环境管理体系认证。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货架需满足GB/T27924-2011《货架术语》、GB50017-2017《钢货架结构设计规范》，不锈钢货架需额外符合GB 4806.9-2023《食品安全国家标准 食品接触用金属材料及制品》；喷涂材料需符合国家环保标准，甲醛等有害物质含量达标。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（二）交付或实施的时间和地点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交付/实施地点：航食公司新厂区；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交付/实施时间：航食新厂区搬迁之前（参照2026年7月20日），供应商需在约定时间内完成货架的运输、卸货、安装调试全部工作。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（三）其它要求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1、运输与安装服务：供应商负责运输、卸货、安装调试，安装前完成现场勘测并提供库区布局优化建议；安装后清理施工现场，无施工垃圾残留，遵守厂区安全管理规定。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2、质保服务：货架整体使用寿命≥10年，质保期内非人为损坏免费维修或更换，质保期内响应时间≤24 小时；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3、后期服务：支持货架层距调整、少量拆装，质保期内免费提供3次以内调整服务，供应商可根据仓储需求变化提供长期技术支持。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default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验收标准：外观、尺寸、安装精度、承重、资料均达标，整体满足结构稳固、操作便捷、安全防护到位的使用需求，否则不予验收。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5、团队配置：供应商需明确项目负责人及安装团队资质，其中，项目负责人需具备5年以上货架项目管理经验，安装人员需持有特种作业操作证（如焊工证、高空作业证），并提供相关人员资质证书复印件。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default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6、资料要求：验收时提供材质证明、第三方承重检测报告、产品合格证、安装说明书、质保书、食品接触材料合规证书（不锈钢货架），检测报告应具有CMA或CNAS认证资质。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2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本采购需求中未明确的细节，由采购方与供应商协商确定，且需符合国家相关标准及厂区仓储管理要求。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0"/>
        <w:rPr>
          <w:rFonts w:hint="eastAsia" w:ascii="黑体" w:hAnsi="黑体" w:eastAsia="黑体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五、依据项目特点需提供的其他信息</w:t>
      </w:r>
    </w:p>
    <w:p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供应商需提供以下样品，重型横梁式货架立柱1段（长 500mm）、横梁1段（长500mm），不锈钢货架立柱1段（长500mm）、层板1块（300mm×300mm）。</w:t>
      </w:r>
    </w:p>
    <w:p>
      <w:pPr>
        <w:spacing w:line="336" w:lineRule="auto"/>
        <w:ind w:firstLine="640" w:firstLineChars="200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ascii="仿宋_GB2312" w:hAnsi="仿宋_GB2312" w:eastAsia="仿宋_GB2312" w:cs="宋体"/>
          <w:sz w:val="32"/>
          <w:szCs w:val="32"/>
        </w:rPr>
        <w:t>供应商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需</w:t>
      </w:r>
      <w:r>
        <w:rPr>
          <w:rFonts w:ascii="仿宋_GB2312" w:hAnsi="仿宋_GB2312" w:eastAsia="仿宋_GB2312" w:cs="宋体"/>
          <w:sz w:val="32"/>
          <w:szCs w:val="32"/>
        </w:rPr>
        <w:t>优先提供货架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现场摆放</w:t>
      </w:r>
      <w:r>
        <w:rPr>
          <w:rFonts w:ascii="仿宋_GB2312" w:hAnsi="仿宋_GB2312" w:eastAsia="仿宋_GB2312" w:cs="宋体"/>
          <w:sz w:val="32"/>
          <w:szCs w:val="32"/>
        </w:rPr>
        <w:t>立体效果图，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确认货架选色要求，</w:t>
      </w:r>
      <w:r>
        <w:rPr>
          <w:rFonts w:ascii="仿宋_GB2312" w:hAnsi="仿宋_GB2312" w:eastAsia="仿宋_GB2312" w:cs="宋体"/>
          <w:sz w:val="32"/>
          <w:szCs w:val="32"/>
        </w:rPr>
        <w:t>确保设计方案与现场实际情况要求相符。</w:t>
      </w:r>
    </w:p>
    <w:p>
      <w:pPr>
        <w:pStyle w:val="2"/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group id="_x0000_s4131" o:spid="_x0000_s4131" o:spt="203" style="position:absolute;left:0pt;margin-left:-80pt;margin-top:-33.55pt;height:677.7pt;width:657.15pt;z-index:251660288;mso-width-relative:page;mso-height-relative:page;" coordorigin="483,483" coordsize="13143,13554">
          <o:lock v:ext="edit" aspectratio="f"/>
          <v:shape id="_x0000_s4115" o:spid="_x0000_s4115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16" o:spid="_x0000_s4116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17" o:spid="_x0000_s4117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18" o:spid="_x0000_s4118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19" o:spid="_x0000_s4119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20" o:spid="_x0000_s4120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21" o:spid="_x0000_s4121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22" o:spid="_x0000_s4122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23" o:spid="_x0000_s4123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24" o:spid="_x0000_s4124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25" o:spid="_x0000_s4125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26" o:spid="_x0000_s4126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27" o:spid="_x0000_s4127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28" o:spid="_x0000_s4128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29" o:spid="_x0000_s4129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  <v:shape id="_x0000_s4130" o:spid="_x0000_s4130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2 11:25:50" style="font-family:Arial;font-size:17pt;v-text-align:center;"/>
          </v:shape>
        </v:group>
      </w:pict>
    </w:r>
    <w:r>
      <w:rPr>
        <w:sz w:val="18"/>
      </w:rPr>
      <w:pict>
        <v:group id="WEOffice_watermarkerGroup_1_16" o:spid="_x0000_s4097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4098" o:spid="_x0000_s4098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099" o:spid="_x0000_s4099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00" o:spid="_x0000_s4100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01" o:spid="_x0000_s4101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02" o:spid="_x0000_s4102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03" o:spid="_x0000_s4103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04" o:spid="_x0000_s4104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05" o:spid="_x0000_s4105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06" o:spid="_x0000_s4106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07" o:spid="_x0000_s4107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08" o:spid="_x0000_s4108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09" o:spid="_x0000_s4109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10" o:spid="_x0000_s4110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11" o:spid="_x0000_s4111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12" o:spid="_x0000_s4112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  <v:shape id="_x0000_s4113" o:spid="_x0000_s4113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4850 2026-04-30 07:03:16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njJF1DWf19qSwDmaT/bFu82SC8Y=" w:salt="+e9/nBnthJ2OoP7FSkWHJ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B2FEC"/>
    <w:rsid w:val="190F4E81"/>
    <w:rsid w:val="2DF379B4"/>
    <w:rsid w:val="3D7E79F1"/>
    <w:rsid w:val="3DB36B23"/>
    <w:rsid w:val="483670AD"/>
    <w:rsid w:val="57363695"/>
    <w:rsid w:val="5CC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kern w:val="0"/>
      <w:sz w:val="20"/>
      <w:szCs w:val="20"/>
    </w:rPr>
  </w:style>
  <w:style w:type="paragraph" w:styleId="4">
    <w:name w:val="Body Text 2"/>
    <w:basedOn w:val="1"/>
    <w:next w:val="3"/>
    <w:qFormat/>
    <w:uiPriority w:val="99"/>
    <w:pPr>
      <w:spacing w:after="120" w:line="480" w:lineRule="auto"/>
    </w:pPr>
  </w:style>
  <w:style w:type="paragraph" w:styleId="5">
    <w:name w:val="Body Text First Indent 2"/>
    <w:basedOn w:val="6"/>
    <w:qFormat/>
    <w:uiPriority w:val="0"/>
    <w:pPr>
      <w:widowControl/>
      <w:spacing w:before="0" w:beforeLines="0" w:line="240" w:lineRule="auto"/>
      <w:ind w:left="420" w:leftChars="200" w:firstLine="420"/>
    </w:pPr>
    <w:rPr>
      <w:sz w:val="21"/>
      <w:szCs w:val="21"/>
    </w:rPr>
  </w:style>
  <w:style w:type="paragraph" w:styleId="6">
    <w:name w:val="Body Text Indent"/>
    <w:basedOn w:val="1"/>
    <w:next w:val="7"/>
    <w:qFormat/>
    <w:uiPriority w:val="0"/>
    <w:pPr>
      <w:spacing w:line="360" w:lineRule="auto"/>
      <w:ind w:firstLine="480"/>
    </w:pPr>
    <w:rPr>
      <w:rFonts w:ascii="Times New Roman" w:hAnsi="Times New Roman"/>
      <w:b/>
      <w:bCs/>
      <w:kern w:val="0"/>
      <w:sz w:val="28"/>
      <w:szCs w:val="24"/>
    </w:r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2026-05-12T00:19:00Z</dcterms:created>
  <dc:creator>Administrator</dc:creator>
  <cp:lastModifiedBy>王恩沼</cp:lastModifiedBy>
  <dcterms:modified xsi:type="dcterms:W3CDTF">2026-06-02T03:25:57Z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3BDA4005E6BC465D866C03981AA78B59</vt:lpwstr>
  </property>
  <property fmtid="{D5CDD505-2E9C-101B-9397-08002B2CF9AE}" pid="4" name="DocID">
    <vt:lpwstr>365791714636</vt:lpwstr>
  </property>
</Properties>
</file>