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t>山东金平航食新厂区辅助设备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</w:t>
      </w:r>
      <w:r>
        <w:rPr>
          <w:rFonts w:hint="eastAsia" w:eastAsia="方正小标宋简体" w:cs="Times New Roman"/>
          <w:sz w:val="44"/>
          <w:szCs w:val="44"/>
          <w:lang w:val="en-US" w:eastAsia="zh-CN"/>
        </w:rPr>
        <w:t>消毒、风幕防虫等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）采购需求</w:t>
      </w:r>
    </w:p>
    <w:p>
      <w:pPr>
        <w:numPr>
          <w:ilvl w:val="0"/>
          <w:numId w:val="1"/>
        </w:num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项目概况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为保障山东金平航空食品有限公司新建厂区按期完成投产验收、实现航空配餐全流程合规化与标准化运行，满足食品生产卫生安全、环境洁净管控、虫媒防控与工艺消毒等刚性配套需求，需采购生产辅助设备。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所有设备覆盖生产车间、航机进出港区、仓储物流区及员工通道，用于构建符合航空食品规范、生产许可及食品安全国家标准的环境管控体系，全面提升生产环境洁净度、微生物防控能力与虫害综合防治水平，确保生产流程稳定可控、产品质量安全可追溯，为新建厂区顺利投产、持续稳定运营提供硬件支撑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采购设备明细及参数要求</w:t>
      </w:r>
    </w:p>
    <w:p>
      <w:pPr>
        <w:pStyle w:val="7"/>
        <w:numPr>
          <w:ilvl w:val="0"/>
          <w:numId w:val="2"/>
        </w:num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消毒净化类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294"/>
        <w:gridCol w:w="2157"/>
        <w:gridCol w:w="1181"/>
        <w:gridCol w:w="506"/>
        <w:gridCol w:w="1118"/>
        <w:gridCol w:w="11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参考品牌型号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主要参数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壁挂式臭氧发生器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康久ARD-G06或青岛维斯特SW-011B-6G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功率：100w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臭氧产量：6g/h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适用体积建议：50m³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500×295×180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巧克力间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壁挂式臭氧发生器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康久ARD-G06或青岛维斯特SW-011B-12G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功率：150w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臭氧产量：12g/h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适用体积建议：100m³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500×295×180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生产部、航机部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鱼类加工间、制冰间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壁挂式臭氧发生器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康久ARD-G06或青岛维斯特SW-011B-20G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功率：200w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臭氧产量：20g/h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适用体积建议：165m³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500×295×180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肉类加工间、冷厨房、蔬果清洗区/加工区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壁挂式臭氧发生器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康久ARD-G06或青岛维斯特SW-011B-24G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功率：250w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臭氧产量：24g/h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适用体积建议：200m³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500×295×180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总摆盘间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壁挂式臭氧发生器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康久ARD-G40或青岛维斯特SW-011B-32G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功率：300w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臭氧产量：32g/h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适用体积建议：265m³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680×295×180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蔬菜加工间、冷厨房、蔬果清洗区/加工区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壁挂式臭氧发生器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康久ARD-G40或青岛维斯特SW-011B-40G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功率：350w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臭氧产量：40g/h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适用体积建议：335m³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680×295×180</w:t>
            </w: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热摆盘间、总摆盘间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9" w:hRule="atLeast"/>
        </w:trPr>
        <w:tc>
          <w:tcPr>
            <w:tcW w:w="112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紫外线消毒灯</w:t>
            </w:r>
          </w:p>
        </w:tc>
        <w:tc>
          <w:tcPr>
            <w:tcW w:w="129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佑威40W紫外消毒灯</w:t>
            </w:r>
          </w:p>
        </w:tc>
        <w:tc>
          <w:tcPr>
            <w:tcW w:w="215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紫外线消毒灯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采用UV-C紫外线，主发射波长为254纳米；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功率：40W。</w:t>
            </w:r>
          </w:p>
        </w:tc>
        <w:tc>
          <w:tcPr>
            <w:tcW w:w="1181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生产部、安质部</w:t>
            </w:r>
          </w:p>
        </w:tc>
        <w:tc>
          <w:tcPr>
            <w:tcW w:w="114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总摆盘间、巧克力间、食品检验室</w:t>
            </w:r>
          </w:p>
        </w:tc>
      </w:tr>
    </w:tbl>
    <w:p>
      <w:pPr>
        <w:pStyle w:val="7"/>
        <w:numPr>
          <w:ilvl w:val="0"/>
          <w:numId w:val="0"/>
        </w:num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7"/>
        <w:numPr>
          <w:ilvl w:val="0"/>
          <w:numId w:val="2"/>
        </w:numPr>
        <w:ind w:left="0" w:leftChars="0" w:firstLine="0" w:firstLine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风幕防虫类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9"/>
        <w:gridCol w:w="1182"/>
        <w:gridCol w:w="1893"/>
        <w:gridCol w:w="1144"/>
        <w:gridCol w:w="750"/>
        <w:gridCol w:w="750"/>
        <w:gridCol w:w="16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1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参考品牌型号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主要参数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16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1" w:hRule="atLeast"/>
        </w:trPr>
        <w:tc>
          <w:tcPr>
            <w:tcW w:w="11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风幕机</w:t>
            </w:r>
          </w:p>
        </w:tc>
        <w:tc>
          <w:tcPr>
            <w:tcW w:w="11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南洋有为FM-5515-L或绿岛风FM3015-A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长度：1500mm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输入功率：高127w，低103w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输出风速：高10.5m/s，低9.5m/s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风量：高2000立方/小时，低18000立方/小时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L=1500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生产部、航机部</w:t>
            </w:r>
          </w:p>
        </w:tc>
        <w:tc>
          <w:tcPr>
            <w:tcW w:w="16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出港平台、缓冲/分拣/清洗/整理区及餐具库、制冰间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灭蝇灯</w:t>
            </w:r>
          </w:p>
        </w:tc>
        <w:tc>
          <w:tcPr>
            <w:tcW w:w="11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亨得利电感式灭蝇灯WGS-30B或劲恒HD-38B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功率：220V/40W，电网电压3500V-4500V-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击毙率是普通灭蝇灯的五倍（配置飞利浦特种灯管恒流变压器）。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灯管使用寿命是普通灭蝇灯管的四倍（可长达两万小时)。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蚊蝇击中后尸体无碎屑（不粘连 网片免清洗）</w:t>
            </w:r>
          </w:p>
        </w:tc>
        <w:tc>
          <w:tcPr>
            <w:tcW w:w="114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500×200×340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7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生产部、仓储部、航机部</w:t>
            </w:r>
          </w:p>
        </w:tc>
        <w:tc>
          <w:tcPr>
            <w:tcW w:w="16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蔬菜加工间、肉类加工间、热厨房、热摆盘间、蔬果清洗区/加工区、冷/热厨用具清洗、总摆盘间、垃圾房、制作间/筛粉间/配料间、出港平台、茶水间、缓冲/分拣/清洗/整理区及餐具库、更衣室、机供品配发、库房区、制冰间</w:t>
            </w:r>
          </w:p>
        </w:tc>
      </w:tr>
    </w:tbl>
    <w:p>
      <w:pPr>
        <w:pStyle w:val="7"/>
        <w:numPr>
          <w:ilvl w:val="0"/>
          <w:numId w:val="0"/>
        </w:numPr>
        <w:ind w:left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pStyle w:val="7"/>
        <w:numPr>
          <w:ilvl w:val="0"/>
          <w:numId w:val="2"/>
        </w:numPr>
        <w:ind w:left="0" w:leftChars="0" w:firstLine="0" w:firstLineChars="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食品检验设备及储物类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"/>
        <w:gridCol w:w="1339"/>
        <w:gridCol w:w="2824"/>
        <w:gridCol w:w="1050"/>
        <w:gridCol w:w="731"/>
        <w:gridCol w:w="685"/>
        <w:gridCol w:w="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参考品牌型号</w:t>
            </w:r>
          </w:p>
        </w:tc>
        <w:tc>
          <w:tcPr>
            <w:tcW w:w="28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主要参数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尺寸</w:t>
            </w:r>
          </w:p>
        </w:tc>
        <w:tc>
          <w:tcPr>
            <w:tcW w:w="7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鞋架（带烘干杀菌除味）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绿空气或鸿泓</w:t>
            </w:r>
          </w:p>
        </w:tc>
        <w:tc>
          <w:tcPr>
            <w:tcW w:w="28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--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1200×400×1350</w:t>
            </w:r>
          </w:p>
        </w:tc>
        <w:tc>
          <w:tcPr>
            <w:tcW w:w="7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更衣室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智能存包柜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钢之锐12门人脸开门</w:t>
            </w:r>
          </w:p>
        </w:tc>
        <w:tc>
          <w:tcPr>
            <w:tcW w:w="28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--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850×460×1800</w:t>
            </w:r>
          </w:p>
        </w:tc>
        <w:tc>
          <w:tcPr>
            <w:tcW w:w="7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生产部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员工入口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电子卤素水分测定仪</w:t>
            </w:r>
          </w:p>
        </w:tc>
        <w:tc>
          <w:tcPr>
            <w:tcW w:w="133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尚仪SN-SH-10A电子卤素水分测定仪或鲁巨人</w:t>
            </w:r>
          </w:p>
        </w:tc>
        <w:tc>
          <w:tcPr>
            <w:tcW w:w="28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--</w:t>
            </w:r>
          </w:p>
        </w:tc>
        <w:tc>
          <w:tcPr>
            <w:tcW w:w="10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256×321×80</w:t>
            </w:r>
          </w:p>
        </w:tc>
        <w:tc>
          <w:tcPr>
            <w:tcW w:w="73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8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安质部</w:t>
            </w:r>
          </w:p>
        </w:tc>
        <w:tc>
          <w:tcPr>
            <w:tcW w:w="9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食品检验室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宋体" w:hAnsi="宋体" w:eastAsia="宋体" w:cs="宋体"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highlight w:val="none"/>
          <w:u w:val="none"/>
          <w:lang w:val="en-US" w:eastAsia="zh-CN" w:bidi="ar"/>
        </w:rPr>
        <w:t>以上设备安装位置以采购方通知为准。</w:t>
      </w:r>
    </w:p>
    <w:p>
      <w:pPr>
        <w:numPr>
          <w:ilvl w:val="0"/>
          <w:numId w:val="0"/>
        </w:numPr>
        <w:ind w:leftChars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三、运输、安装及调试要求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运输要求：供应商需在合同签订后，接到采购方通知，在约定时间内，将所有设备安全、完好地送达航食新厂区指定地点，运输过程中需做好设备包装防护，避免设备损坏、磕碰、受潮，若运输过程中出现设备损坏，由供应商负责免费更换或维修至合格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安装要求：供应商需安排专业安装人员，在设备送达后约定时间内完成所有设备的安装工作，安装需符合设备安装规范、航食厂区安全管理要求及卫生标准，确保设备安装牢固、位置合理、线路规范（尤其是开水器等需布线设备，需严格执行强电弱电分离要求），不影响厂区正常运营。安装过程中，为确保设备安装符合规范、达到正常使用标准，所需的常规安装耗材（如固定螺丝、膨胀管、接线端子、密封胶等）均由供应商承担，供应商需提前备齐相关耗材，不得因耗材问题影响安装进度，且不得向采购方额外收取任何耗材费用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 调试要求：安装完成后，供应商需对所有设备进行全面调试，确保设备运行正常、各项功能达标（如存包柜人脸识别开锁等）。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 培训要求：供应商需对采购方相关操作人员进行设备操作、日常维护及简单故障处理培训，确保操作人员能够熟练使用设备。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四、保修期要求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1.保修期按各设备品牌产品官方标准保修期执行，具体期限以该品牌产品公示或承诺的实际保修期为准。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 对交付产品及其部件因发生的故障，在保修期内出现故障的，乙方应当在收到甲方通知后48小时内免费修理，72小时内修复，不如能修复，应在故障出现之日起10天内予以免费更换。零配件维修或更换后，重新计算保修期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3.质保期结束后，供应商需提供终身技术支持及维修服务，维修费用按成本价收取，不得高于市场常规价格。</w:t>
      </w:r>
    </w:p>
    <w:p>
      <w:pPr>
        <w:numPr>
          <w:ilvl w:val="0"/>
          <w:numId w:val="0"/>
        </w:num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五、付款方式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标的物全部交付且经采购方验收合格后，供应商向采购方开具合同总价款100%的增值税专用发票，采购方收到发票并确认无误后的60个自然日内将全部价款的95％支付给供应商。其余5％的价款作为质量保证金，全部标的物质量保修期均届满且无质量问题的，采购方付清全部质量保证金。</w:t>
      </w: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group id="WEOffice_watermarkerGroup_1_16" o:spid="_x0000_s2066" o:spt="203" style="position:absolute;left:0pt;margin-left:-80pt;margin-top:-33.55pt;height:677.7pt;width:657.15pt;z-index:251659264;mso-width-relative:page;mso-height-relative:page;" coordorigin="483,483" coordsize="13143,13554">
          <o:lock v:ext="edit" aspectratio="f"/>
          <v:shape id="_x0000_s2050" o:spid="_x0000_s2050" o:spt="136" type="#_x0000_t136" style="position:absolute;left:483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1" o:spid="_x0000_s2051" o:spt="136" type="#_x0000_t136" style="position:absolute;left:3404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2" o:spid="_x0000_s2052" o:spt="136" type="#_x0000_t136" style="position:absolute;left:6325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3" o:spid="_x0000_s2053" o:spt="136" type="#_x0000_t136" style="position:absolute;left:9246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4" o:spid="_x0000_s2054" o:spt="136" type="#_x0000_t136" style="position:absolute;left:483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5" o:spid="_x0000_s2055" o:spt="136" type="#_x0000_t136" style="position:absolute;left:3404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6" o:spid="_x0000_s2056" o:spt="136" type="#_x0000_t136" style="position:absolute;left:6325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7" o:spid="_x0000_s2057" o:spt="136" type="#_x0000_t136" style="position:absolute;left:9246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8" o:spid="_x0000_s2058" o:spt="136" type="#_x0000_t136" style="position:absolute;left:483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59" o:spid="_x0000_s2059" o:spt="136" type="#_x0000_t136" style="position:absolute;left:3404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60" o:spid="_x0000_s2060" o:spt="136" type="#_x0000_t136" style="position:absolute;left:6325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61" o:spid="_x0000_s2061" o:spt="136" type="#_x0000_t136" style="position:absolute;left:9246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62" o:spid="_x0000_s2062" o:spt="136" type="#_x0000_t136" style="position:absolute;left:483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63" o:spid="_x0000_s2063" o:spt="136" type="#_x0000_t136" style="position:absolute;left:3404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64" o:spid="_x0000_s2064" o:spt="136" type="#_x0000_t136" style="position:absolute;left:6325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  <v:shape id="_x0000_s2065" o:spid="_x0000_s2065" o:spt="136" type="#_x0000_t136" style="position:absolute;left:9246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7 2026-06-22 15:15:47" style="font-family:Arial;font-size:17pt;v-text-align:center;"/>
          </v:shape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B26C43"/>
    <w:multiLevelType w:val="singleLevel"/>
    <w:tmpl w:val="54B26C4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3FB010E"/>
    <w:multiLevelType w:val="singleLevel"/>
    <w:tmpl w:val="73FB010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trackRevisions w:val="1"/>
  <w:documentProtection w:edit="trackedChanges" w:enforcement="1" w:cryptProviderType="rsaFull" w:cryptAlgorithmClass="hash" w:cryptAlgorithmType="typeAny" w:cryptAlgorithmSid="4" w:cryptSpinCount="0" w:hash="hYPhh39ZEnCf4kg3YhdxOlPAa7g=" w:salt="dkujUv+kKe3tUtaGYqpV6A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A3A92"/>
    <w:rsid w:val="0C8D12CB"/>
    <w:rsid w:val="3B326110"/>
    <w:rsid w:val="44004ABE"/>
    <w:rsid w:val="616A3A92"/>
    <w:rsid w:val="66D77766"/>
    <w:rsid w:val="791E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_Style 3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2026-06-16T05:45:00Z</dcterms:created>
  <dc:creator>庄萍</dc:creator>
  <cp:lastModifiedBy>王恩沼</cp:lastModifiedBy>
  <dcterms:modified xsi:type="dcterms:W3CDTF">2026-06-22T07:15:52Z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3E75D52524BC4E2C8C661707D4217B7F_11</vt:lpwstr>
  </property>
  <property fmtid="{D5CDD505-2E9C-101B-9397-08002B2CF9AE}" pid="4" name="KSOTemplateDocerSaveRecord">
    <vt:lpwstr>eyJoZGlkIjoiMTNiNGY5ODMzY2VhMjAwMjI0NmUzNWVjNWQ3NTYyMjIiLCJ1c2VySWQiOiIxNjIyMjI4OTA5In0=</vt:lpwstr>
  </property>
  <property fmtid="{D5CDD505-2E9C-101B-9397-08002B2CF9AE}" pid="5" name="DocID">
    <vt:lpwstr>549431598448</vt:lpwstr>
  </property>
</Properties>
</file>